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3CB5" w14:textId="77777777" w:rsidR="00A734AC" w:rsidRDefault="00723D1A">
      <w:pPr>
        <w:jc w:val="right"/>
      </w:pPr>
      <w:proofErr w:type="spellStart"/>
      <w:r>
        <w:rPr>
          <w:sz w:val="22"/>
          <w:szCs w:val="22"/>
        </w:rPr>
        <w:t>Засгийн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газрын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Хэрэг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эрхлэх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газрын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</w:t>
      </w:r>
      <w:proofErr w:type="spellStart"/>
      <w:r>
        <w:rPr>
          <w:sz w:val="22"/>
          <w:szCs w:val="22"/>
        </w:rPr>
        <w:t>даргын</w:t>
      </w:r>
      <w:proofErr w:type="spellEnd"/>
      <w:r>
        <w:rPr>
          <w:sz w:val="22"/>
          <w:szCs w:val="22"/>
        </w:rPr>
        <w:t xml:space="preserve"> 2020 </w:t>
      </w:r>
      <w:proofErr w:type="spellStart"/>
      <w:r>
        <w:rPr>
          <w:sz w:val="22"/>
          <w:szCs w:val="22"/>
        </w:rPr>
        <w:t>оны</w:t>
      </w:r>
      <w:proofErr w:type="spellEnd"/>
      <w:r>
        <w:rPr>
          <w:sz w:val="22"/>
          <w:szCs w:val="22"/>
        </w:rPr>
        <w:t xml:space="preserve"> 100 </w:t>
      </w:r>
      <w:proofErr w:type="spellStart"/>
      <w:r>
        <w:rPr>
          <w:sz w:val="22"/>
          <w:szCs w:val="22"/>
        </w:rPr>
        <w:t>тоот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тушаалын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7 </w:t>
      </w:r>
      <w:proofErr w:type="spellStart"/>
      <w:r>
        <w:rPr>
          <w:sz w:val="22"/>
          <w:szCs w:val="22"/>
        </w:rPr>
        <w:t>дугаар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хавсралт</w:t>
      </w:r>
      <w:proofErr w:type="spellEnd"/>
    </w:p>
    <w:p w14:paraId="7041988F" w14:textId="77777777" w:rsidR="00A734AC" w:rsidRDefault="00723D1A">
      <w:pPr>
        <w:jc w:val="center"/>
      </w:pPr>
      <w:proofErr w:type="spellStart"/>
      <w:r>
        <w:rPr>
          <w:sz w:val="22"/>
          <w:szCs w:val="22"/>
        </w:rPr>
        <w:t>Насан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туршийн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суралцахуйн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хэлтэс</w:t>
      </w:r>
      <w:proofErr w:type="spellEnd"/>
    </w:p>
    <w:p w14:paraId="1F86979F" w14:textId="77777777" w:rsidR="00A734AC" w:rsidRDefault="00723D1A">
      <w:pPr>
        <w:jc w:val="center"/>
      </w:pPr>
      <w:r>
        <w:rPr>
          <w:caps/>
          <w:sz w:val="22"/>
          <w:szCs w:val="22"/>
        </w:rPr>
        <w:t>2024 оны жилийн эцэс-н ГҮЙЦЭТГЭЛИЙН ТАЙЛАН</w:t>
      </w:r>
    </w:p>
    <w:tbl>
      <w:tblPr>
        <w:tblStyle w:val="ColspanRowspan"/>
        <w:tblW w:w="0" w:type="auto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701"/>
        <w:gridCol w:w="1276"/>
        <w:gridCol w:w="992"/>
        <w:gridCol w:w="1843"/>
        <w:gridCol w:w="2835"/>
        <w:gridCol w:w="1276"/>
        <w:gridCol w:w="953"/>
      </w:tblGrid>
      <w:tr w:rsidR="00723D1A" w14:paraId="03948DA1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 w:val="restart"/>
            <w:vAlign w:val="center"/>
          </w:tcPr>
          <w:p w14:paraId="097367F0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14:paraId="2B670601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Стратеги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төлөвлөгөө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үндэслэж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бусад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баримт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A5E2776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Төсөв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91C9E33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үзүүлэлт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59EDFD8B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Суурь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түвшин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14:paraId="1A249072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Зорилтот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түвшин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7C61BD1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Хүрсэн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түвшин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буюу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sz w:val="22"/>
                <w:szCs w:val="22"/>
              </w:rPr>
              <w:t>хүрээгүй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тайлбар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  <w:tc>
          <w:tcPr>
            <w:tcW w:w="2229" w:type="dxa"/>
            <w:gridSpan w:val="2"/>
            <w:vAlign w:val="center"/>
          </w:tcPr>
          <w:p w14:paraId="5625CF75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Гүйцэтгэл-ийн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</w:p>
        </w:tc>
      </w:tr>
      <w:tr w:rsidR="00723D1A" w14:paraId="7FC51530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  <w:vMerge/>
          </w:tcPr>
          <w:p w14:paraId="750A0FF5" w14:textId="77777777" w:rsidR="00A734AC" w:rsidRDefault="00A734AC"/>
        </w:tc>
        <w:tc>
          <w:tcPr>
            <w:tcW w:w="2126" w:type="dxa"/>
            <w:vMerge/>
          </w:tcPr>
          <w:p w14:paraId="1E132C3B" w14:textId="77777777" w:rsidR="00A734AC" w:rsidRDefault="00A734AC"/>
        </w:tc>
        <w:tc>
          <w:tcPr>
            <w:tcW w:w="1134" w:type="dxa"/>
            <w:vMerge/>
          </w:tcPr>
          <w:p w14:paraId="6094A195" w14:textId="77777777" w:rsidR="00A734AC" w:rsidRDefault="00A734AC"/>
        </w:tc>
        <w:tc>
          <w:tcPr>
            <w:tcW w:w="1701" w:type="dxa"/>
            <w:vMerge/>
          </w:tcPr>
          <w:p w14:paraId="4107BC47" w14:textId="77777777" w:rsidR="00A734AC" w:rsidRDefault="00A734AC"/>
        </w:tc>
        <w:tc>
          <w:tcPr>
            <w:tcW w:w="1276" w:type="dxa"/>
            <w:vMerge/>
          </w:tcPr>
          <w:p w14:paraId="60CEBFE4" w14:textId="77777777" w:rsidR="00A734AC" w:rsidRDefault="00A734AC"/>
        </w:tc>
        <w:tc>
          <w:tcPr>
            <w:tcW w:w="992" w:type="dxa"/>
            <w:vAlign w:val="center"/>
          </w:tcPr>
          <w:p w14:paraId="76A46E55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Эхний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хагас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жил</w:t>
            </w:r>
            <w:proofErr w:type="spellEnd"/>
          </w:p>
        </w:tc>
        <w:tc>
          <w:tcPr>
            <w:tcW w:w="1843" w:type="dxa"/>
            <w:vAlign w:val="center"/>
          </w:tcPr>
          <w:p w14:paraId="1D29B149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Сүүлийн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хагас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жил</w:t>
            </w:r>
            <w:proofErr w:type="spellEnd"/>
          </w:p>
        </w:tc>
        <w:tc>
          <w:tcPr>
            <w:tcW w:w="2835" w:type="dxa"/>
            <w:vMerge/>
          </w:tcPr>
          <w:p w14:paraId="6383017A" w14:textId="77777777" w:rsidR="00A734AC" w:rsidRDefault="00A734AC"/>
        </w:tc>
        <w:tc>
          <w:tcPr>
            <w:tcW w:w="1276" w:type="dxa"/>
            <w:vAlign w:val="center"/>
          </w:tcPr>
          <w:p w14:paraId="33DC9BDC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Өөрийн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үнэлгээ</w:t>
            </w:r>
            <w:proofErr w:type="spellEnd"/>
          </w:p>
        </w:tc>
        <w:tc>
          <w:tcPr>
            <w:tcW w:w="953" w:type="dxa"/>
            <w:vAlign w:val="center"/>
          </w:tcPr>
          <w:p w14:paraId="31540809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ХШҮ</w:t>
            </w:r>
          </w:p>
        </w:tc>
      </w:tr>
      <w:tr w:rsidR="00A734AC" w14:paraId="6AC3D492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5" w:type="dxa"/>
            <w:gridSpan w:val="10"/>
            <w:vAlign w:val="center"/>
          </w:tcPr>
          <w:p w14:paraId="46CABD0F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t>Гурав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Хуулиар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тусгайлан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олгосон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үүргийг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зорилт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</w:t>
            </w:r>
            <w:proofErr w:type="spellEnd"/>
          </w:p>
        </w:tc>
      </w:tr>
      <w:tr w:rsidR="00723D1A" w14:paraId="680C2D41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75BEC2FF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26" w:type="dxa"/>
          </w:tcPr>
          <w:p w14:paraId="324BA84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төлөвлөгөө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хуулийн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төсөл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батлуулах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гадаад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байгууллагаас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санхүүжих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төсөл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салбар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хоорондын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уялдааг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удирдамжаар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чанарын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үнэлгээ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туршдаа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тогтолцоог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хөгжүүлж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түвшний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чанар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хүртээмжийг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сайжруулах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боловсруулах</w:t>
            </w:r>
            <w:proofErr w:type="spellEnd"/>
          </w:p>
        </w:tc>
        <w:tc>
          <w:tcPr>
            <w:tcW w:w="1134" w:type="dxa"/>
          </w:tcPr>
          <w:p w14:paraId="1B84489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14:paraId="3CE1D905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Журмыг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F4F5A93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</w:tcPr>
          <w:p w14:paraId="6252975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Журмыг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газруудаас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15859C1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төлөвлөгөө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Бүгд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Найрамдах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Солонгос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Санхүү, </w:t>
            </w:r>
            <w:proofErr w:type="spellStart"/>
            <w:r>
              <w:rPr>
                <w:sz w:val="22"/>
                <w:szCs w:val="22"/>
              </w:rPr>
              <w:t>эдийн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яамнаас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орнуудад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тохирсон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зөвлөгөө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өгөх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зорилгоор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байгаа</w:t>
            </w:r>
            <w:proofErr w:type="spellEnd"/>
            <w:r>
              <w:rPr>
                <w:sz w:val="22"/>
                <w:szCs w:val="22"/>
              </w:rPr>
              <w:t xml:space="preserve"> KSP /knowledge Sharing </w:t>
            </w:r>
            <w:proofErr w:type="spellStart"/>
            <w:r>
              <w:rPr>
                <w:sz w:val="22"/>
                <w:szCs w:val="22"/>
              </w:rPr>
              <w:t>Ргоgram-ын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сонгон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шалгаруулалтад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чиглэлээр</w:t>
            </w:r>
            <w:proofErr w:type="spellEnd"/>
            <w:r>
              <w:rPr>
                <w:sz w:val="22"/>
                <w:szCs w:val="22"/>
              </w:rPr>
              <w:t xml:space="preserve"> 2025-2026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төлөвлөгөөний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төсөлд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яамаар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дамжуулан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хүргүүлсэн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1C1AE8A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2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3E51C6F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624ABB9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3D2C8A4D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363111CC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2126" w:type="dxa"/>
          </w:tcPr>
          <w:p w14:paraId="13848A4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сургалтын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менежер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удирдлагад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мэргэшлийн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зэрэг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хүчингүй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журмыг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EB90D4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7C3FF81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Журмыг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D1DA89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5DA0DC3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094EC85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Журмын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төсөлд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E6749B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сургалтын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менежер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мэргэшлийн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зэрэг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хүчингүй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журмыг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Журмын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хэлтсийн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хаагчид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хэлэлцүүлэн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сайжруулж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нэгтгэсэн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Журмын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төсөлд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сайжруулж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танилцуулан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нийтээс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авахаар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яамны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хуудсанд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байршуулсан</w:t>
            </w:r>
            <w:proofErr w:type="spellEnd"/>
            <w:r>
              <w:rPr>
                <w:sz w:val="22"/>
                <w:szCs w:val="22"/>
              </w:rPr>
              <w:t>. https://moe.gov.mn/post/1624</w:t>
            </w:r>
            <w:r>
              <w:rPr>
                <w:sz w:val="22"/>
                <w:szCs w:val="22"/>
              </w:rPr>
              <w:t xml:space="preserve">81 </w:t>
            </w:r>
            <w:proofErr w:type="spellStart"/>
            <w:r>
              <w:rPr>
                <w:sz w:val="22"/>
                <w:szCs w:val="22"/>
              </w:rPr>
              <w:t>Мөн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удирдах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ажилтанд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мэргэшлийн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зэрэг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хүчингүй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болгох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журмын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батлуулахаар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эйбл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оруулсан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B835169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3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07D70CE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6015BE25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261CD3C7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70C28549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2126" w:type="dxa"/>
          </w:tcPr>
          <w:p w14:paraId="71802F23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жишиг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бүтэц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D9D480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75E1073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Жишиг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бүтэц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4DDA3B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DD7C7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CFCBFC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Жишиг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бүтэц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7568B0F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цалингийн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суралцаж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суралцагчийн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төвүүдийн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онцлог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байдлыг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харгалзан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жишиг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дээд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хязгаарыг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Жишиг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дээд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хязгаарыг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хэлтэс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хаагчдаас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хэлэлцүүлсэн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Орон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жишиг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дээд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хязгаарын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төсөлд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ирү</w:t>
            </w:r>
            <w:r>
              <w:rPr>
                <w:sz w:val="22"/>
                <w:szCs w:val="22"/>
              </w:rPr>
              <w:t>үлсэн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сайжруулж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танилцуулан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яамнаас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авахаар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11 </w:t>
            </w:r>
            <w:proofErr w:type="spellStart"/>
            <w:r>
              <w:rPr>
                <w:sz w:val="22"/>
                <w:szCs w:val="22"/>
              </w:rPr>
              <w:t>дүгээр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сарын</w:t>
            </w:r>
            <w:proofErr w:type="spellEnd"/>
            <w:r>
              <w:rPr>
                <w:sz w:val="22"/>
                <w:szCs w:val="22"/>
              </w:rPr>
              <w:t xml:space="preserve"> 19-ний 12309 </w:t>
            </w:r>
            <w:proofErr w:type="spellStart"/>
            <w:r>
              <w:rPr>
                <w:sz w:val="22"/>
                <w:szCs w:val="22"/>
              </w:rPr>
              <w:t>дугаар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бичгээр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хүргүүлсэн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E21C71E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2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00E0AFB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46C246A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4316C351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3AF54233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126" w:type="dxa"/>
          </w:tcPr>
          <w:p w14:paraId="6DF96E4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статистикийн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маягт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аргачлалыг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боловсронгуй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батлуулах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тайлагнах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түгээх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манлайллаар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мэргэжил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зүйн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дэмжлэг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үзүүлэх</w:t>
            </w:r>
            <w:proofErr w:type="spellEnd"/>
          </w:p>
        </w:tc>
        <w:tc>
          <w:tcPr>
            <w:tcW w:w="1134" w:type="dxa"/>
          </w:tcPr>
          <w:p w14:paraId="1507714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9919D83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Судалгаа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хийгдсэн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425499EF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</w:tcPr>
          <w:p w14:paraId="42A23C8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нөөцийн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судалгаа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хийгдсэн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4F873D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статистикийн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маягт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аргачлалыг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боловсронгуй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 БМТТ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төлөөлөлтэй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уулзаж</w:t>
            </w:r>
            <w:proofErr w:type="spellEnd"/>
            <w:r>
              <w:rPr>
                <w:sz w:val="22"/>
                <w:szCs w:val="22"/>
              </w:rPr>
              <w:t xml:space="preserve"> 2025 </w:t>
            </w:r>
            <w:proofErr w:type="spellStart"/>
            <w:r>
              <w:rPr>
                <w:sz w:val="22"/>
                <w:szCs w:val="22"/>
              </w:rPr>
              <w:t>онд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нөөцийн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маягтыг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өөрчлөх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статистикийн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маягт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аргачлалыг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боловсронгуй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болгохоор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ярилцсан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нөөцийн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маягтыг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эхний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байдлаар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дотооддоо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ажиллагаандаа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хэрэглэж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A81ABF2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1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4BAE216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53" w:type="dxa"/>
          </w:tcPr>
          <w:p w14:paraId="724458F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5FFBB642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5B4FD95C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2126" w:type="dxa"/>
          </w:tcPr>
          <w:p w14:paraId="21527D95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туршдаа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нөөцийн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судалгааг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гаргана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4A88AD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00E2CEB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Судалгаа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хийгдсэн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8212B4F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B872D9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1BED18E5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Хүний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нөөцийн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судалгаа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хийгдсэн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1E0BDF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ажилтны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харагддаггүй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Үндсэн</w:t>
            </w:r>
            <w:proofErr w:type="spellEnd"/>
            <w:r>
              <w:rPr>
                <w:sz w:val="22"/>
                <w:szCs w:val="22"/>
              </w:rPr>
              <w:t xml:space="preserve"> 4 </w:t>
            </w:r>
            <w:proofErr w:type="spellStart"/>
            <w:r>
              <w:rPr>
                <w:sz w:val="22"/>
                <w:szCs w:val="22"/>
              </w:rPr>
              <w:t>маягтаар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суралцагчдын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судалгааны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холбогдолтой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гардаг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</w:t>
            </w:r>
            <w:proofErr w:type="spellEnd"/>
            <w:r>
              <w:rPr>
                <w:sz w:val="22"/>
                <w:szCs w:val="22"/>
              </w:rPr>
              <w:t xml:space="preserve"> ЕБС-</w:t>
            </w:r>
            <w:proofErr w:type="spellStart"/>
            <w:r>
              <w:rPr>
                <w:sz w:val="22"/>
                <w:szCs w:val="22"/>
              </w:rPr>
              <w:t>ийн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lastRenderedPageBreak/>
              <w:t>маягтаас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нэмэлт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авдаг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статистик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хэлтсийн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шинжээч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Ц.Батбаяр</w:t>
            </w:r>
            <w:proofErr w:type="spellEnd"/>
            <w:r>
              <w:rPr>
                <w:sz w:val="22"/>
                <w:szCs w:val="22"/>
              </w:rPr>
              <w:t>, БМТТ-</w:t>
            </w:r>
            <w:proofErr w:type="spellStart"/>
            <w:r>
              <w:rPr>
                <w:sz w:val="22"/>
                <w:szCs w:val="22"/>
              </w:rPr>
              <w:t>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мэргэжилтэн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Б.Элбэгсайхан</w:t>
            </w:r>
            <w:proofErr w:type="spellEnd"/>
            <w:r>
              <w:rPr>
                <w:sz w:val="22"/>
                <w:szCs w:val="22"/>
              </w:rPr>
              <w:t>, БЕГ-</w:t>
            </w:r>
            <w:proofErr w:type="spellStart"/>
            <w:r>
              <w:rPr>
                <w:sz w:val="22"/>
                <w:szCs w:val="22"/>
              </w:rPr>
              <w:t>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хэлтсийн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мэргэжилтэн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Э.Энхбат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хамтарсан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уулзалт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холбоотой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талаар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хөгжүүлэлт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сургалтын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менежерийн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судалгааг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гаргасан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Цаашид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технологийн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дотоод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хөгжүүлэлтийг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шаттай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хийхээр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төлөвлөсөн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системээс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ажилтны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судалгааг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гаргасан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5E39B9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17D4F65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90%</w:t>
            </w:r>
          </w:p>
        </w:tc>
      </w:tr>
      <w:tr w:rsidR="00723D1A" w14:paraId="47239473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568BDA77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126" w:type="dxa"/>
          </w:tcPr>
          <w:p w14:paraId="4E48F4ED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зүйн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батлуулах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мэргэжил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зүйгээр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нийтэд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сурталчлан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таниулах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</w:p>
        </w:tc>
        <w:tc>
          <w:tcPr>
            <w:tcW w:w="1134" w:type="dxa"/>
          </w:tcPr>
          <w:p w14:paraId="5FE8FEF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14:paraId="08892B0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Сургалтад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хамрагдсан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1276" w:type="dxa"/>
          </w:tcPr>
          <w:p w14:paraId="1144B6B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Иргэдийн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мэдлэг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чадвар</w:t>
            </w:r>
            <w:proofErr w:type="spellEnd"/>
          </w:p>
        </w:tc>
        <w:tc>
          <w:tcPr>
            <w:tcW w:w="2835" w:type="dxa"/>
            <w:gridSpan w:val="2"/>
          </w:tcPr>
          <w:p w14:paraId="14213D2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Иргэдийн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чадвар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хэрэглээний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мэдлэгийг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нэмэгдүүлнэ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5A34CCE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382 </w:t>
            </w:r>
            <w:proofErr w:type="spellStart"/>
            <w:r>
              <w:rPr>
                <w:sz w:val="22"/>
                <w:szCs w:val="22"/>
              </w:rPr>
              <w:t>дуугаар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тогтоолын</w:t>
            </w:r>
            <w:proofErr w:type="spellEnd"/>
            <w:r>
              <w:rPr>
                <w:sz w:val="22"/>
                <w:szCs w:val="22"/>
              </w:rPr>
              <w:t xml:space="preserve"> 4 </w:t>
            </w:r>
            <w:proofErr w:type="spellStart"/>
            <w:r>
              <w:rPr>
                <w:sz w:val="22"/>
                <w:szCs w:val="22"/>
              </w:rPr>
              <w:t>дүгээр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хавсралтын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дагуу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ажилтанд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чадварын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нэмэгдэл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үзүүлэлтийн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хэлтэс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төвүүдээс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саналыг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танилцуулсан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ажилтанд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чадварын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нэмэгдэл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үзүүлэлтийг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хамтаран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хөдөлмөр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нийгмийн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хамгаалл</w:t>
            </w:r>
            <w:r>
              <w:rPr>
                <w:sz w:val="22"/>
                <w:szCs w:val="22"/>
              </w:rPr>
              <w:t>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сайдаас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авахаар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эйбл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үеийн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мэдээллийг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14 </w:t>
            </w:r>
            <w:proofErr w:type="spellStart"/>
            <w:r>
              <w:rPr>
                <w:sz w:val="22"/>
                <w:szCs w:val="22"/>
              </w:rPr>
              <w:t>хоног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тутмын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хурал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төвүүдэд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мэргэжил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зүйгээр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ажилласан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6A48BEF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2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6199328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4D33612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5AD4CBEF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3B02D3D9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126" w:type="dxa"/>
          </w:tcPr>
          <w:p w14:paraId="7685FE0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хаагчдыг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чадавхжуулах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D6F365A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7E84CC1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Сургалтад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хамрагдсан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1276" w:type="dxa"/>
          </w:tcPr>
          <w:p w14:paraId="4795C34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77154A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1C89C8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мэдлэг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нэмэгдэнэ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78299A1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Азийн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банкны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Эдийн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хүндрэлийн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чанар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хүртээмжийг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сайжруулах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төслийн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санхүүжилтээр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дугаар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07-09-ны </w:t>
            </w:r>
            <w:proofErr w:type="spellStart"/>
            <w:r>
              <w:rPr>
                <w:sz w:val="22"/>
                <w:szCs w:val="22"/>
              </w:rPr>
              <w:t>өдрүүдэд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хүрэгчдэд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зориулсан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харилцаа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технологийн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</w:t>
            </w:r>
            <w:proofErr w:type="spellEnd"/>
            <w:r>
              <w:rPr>
                <w:sz w:val="22"/>
                <w:szCs w:val="22"/>
              </w:rPr>
              <w:t>”-</w:t>
            </w:r>
            <w:proofErr w:type="spellStart"/>
            <w:r>
              <w:rPr>
                <w:sz w:val="22"/>
                <w:szCs w:val="22"/>
              </w:rPr>
              <w:t>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бэлтгэх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сургалтыг</w:t>
            </w:r>
            <w:proofErr w:type="spellEnd"/>
            <w:r>
              <w:rPr>
                <w:sz w:val="22"/>
                <w:szCs w:val="22"/>
              </w:rPr>
              <w:t xml:space="preserve"> БЕГ-</w:t>
            </w:r>
            <w:proofErr w:type="spellStart"/>
            <w:r>
              <w:rPr>
                <w:sz w:val="22"/>
                <w:szCs w:val="22"/>
              </w:rPr>
              <w:t>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хэлтэс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сургалтад</w:t>
            </w:r>
            <w:proofErr w:type="spellEnd"/>
            <w:r>
              <w:rPr>
                <w:sz w:val="22"/>
                <w:szCs w:val="22"/>
              </w:rPr>
              <w:t xml:space="preserve"> 21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9 </w:t>
            </w:r>
            <w:proofErr w:type="spellStart"/>
            <w:r>
              <w:rPr>
                <w:sz w:val="22"/>
                <w:szCs w:val="22"/>
              </w:rPr>
              <w:t>дүүргийн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төвүүдээс</w:t>
            </w:r>
            <w:proofErr w:type="spellEnd"/>
            <w:r>
              <w:rPr>
                <w:sz w:val="22"/>
                <w:szCs w:val="22"/>
              </w:rPr>
              <w:t xml:space="preserve"> 50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хамруулсан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хаагчдад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чиглэл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харилцан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туршлага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солилцох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"  </w:t>
            </w:r>
            <w:proofErr w:type="spellStart"/>
            <w:r>
              <w:rPr>
                <w:sz w:val="22"/>
                <w:szCs w:val="22"/>
              </w:rPr>
              <w:t>бүсийн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сургалтыг</w:t>
            </w:r>
            <w:proofErr w:type="spellEnd"/>
            <w:r>
              <w:rPr>
                <w:sz w:val="22"/>
                <w:szCs w:val="22"/>
              </w:rPr>
              <w:t xml:space="preserve"> 10-11 </w:t>
            </w:r>
            <w:proofErr w:type="spellStart"/>
            <w:r>
              <w:rPr>
                <w:sz w:val="22"/>
                <w:szCs w:val="22"/>
              </w:rPr>
              <w:t>сард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2024-2028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хөтөлбөрт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туссан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Ирланд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доктор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профессор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Сиамус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Туамаг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урьж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хаагчдад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бэлтгэл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Сургалтыг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Баянгол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түшиглэн</w:t>
            </w:r>
            <w:proofErr w:type="spellEnd"/>
            <w:r>
              <w:rPr>
                <w:sz w:val="22"/>
                <w:szCs w:val="22"/>
              </w:rPr>
              <w:t xml:space="preserve"> 12 </w:t>
            </w:r>
            <w:proofErr w:type="spellStart"/>
            <w:r>
              <w:rPr>
                <w:sz w:val="22"/>
                <w:szCs w:val="22"/>
              </w:rPr>
              <w:t>дугаар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сарын</w:t>
            </w:r>
            <w:proofErr w:type="spellEnd"/>
            <w:r>
              <w:rPr>
                <w:sz w:val="22"/>
                <w:szCs w:val="22"/>
              </w:rPr>
              <w:t xml:space="preserve"> 10-ны </w:t>
            </w:r>
            <w:proofErr w:type="spellStart"/>
            <w:proofErr w:type="gramStart"/>
            <w:r>
              <w:rPr>
                <w:sz w:val="22"/>
                <w:szCs w:val="22"/>
              </w:rPr>
              <w:t>өдрүүдэд</w:t>
            </w:r>
            <w:proofErr w:type="spellEnd"/>
            <w:r>
              <w:rPr>
                <w:sz w:val="22"/>
                <w:szCs w:val="22"/>
              </w:rPr>
              <w:t xml:space="preserve">  "</w:t>
            </w:r>
            <w:proofErr w:type="spellStart"/>
            <w:proofErr w:type="gramEnd"/>
            <w:r>
              <w:rPr>
                <w:sz w:val="22"/>
                <w:szCs w:val="22"/>
              </w:rPr>
              <w:t>Корк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туршлага</w:t>
            </w:r>
            <w:proofErr w:type="spellEnd"/>
            <w:r>
              <w:rPr>
                <w:sz w:val="22"/>
                <w:szCs w:val="22"/>
              </w:rPr>
              <w:t>", "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5 </w:t>
            </w:r>
            <w:proofErr w:type="spellStart"/>
            <w:r>
              <w:rPr>
                <w:sz w:val="22"/>
                <w:szCs w:val="22"/>
              </w:rPr>
              <w:t>ба</w:t>
            </w:r>
            <w:r>
              <w:rPr>
                <w:sz w:val="22"/>
                <w:szCs w:val="22"/>
              </w:rPr>
              <w:t>ялаг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төлөвлөсөн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Сургалтыг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хамтран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байгуулахаар</w:t>
            </w:r>
            <w:proofErr w:type="spellEnd"/>
            <w:r>
              <w:rPr>
                <w:sz w:val="22"/>
                <w:szCs w:val="22"/>
              </w:rPr>
              <w:t xml:space="preserve"> БГД-ийн </w:t>
            </w:r>
            <w:proofErr w:type="spellStart"/>
            <w:r>
              <w:rPr>
                <w:sz w:val="22"/>
                <w:szCs w:val="22"/>
              </w:rPr>
              <w:t>Засаг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даргад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хамтран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ажиллах</w:t>
            </w:r>
            <w:proofErr w:type="spellEnd"/>
            <w:r>
              <w:rPr>
                <w:sz w:val="22"/>
                <w:szCs w:val="22"/>
              </w:rPr>
              <w:t xml:space="preserve"> 22080 </w:t>
            </w:r>
            <w:proofErr w:type="spellStart"/>
            <w:r>
              <w:rPr>
                <w:sz w:val="22"/>
                <w:szCs w:val="22"/>
              </w:rPr>
              <w:t>дугаартай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бичгийг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хүргүүлсэн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Мөн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хөтөлбөрийг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батлуулан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55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F0872C3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4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322794F5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338A470F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A734AC" w14:paraId="1957FE83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5" w:type="dxa"/>
            <w:gridSpan w:val="10"/>
            <w:vAlign w:val="center"/>
          </w:tcPr>
          <w:p w14:paraId="30A08696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Гурав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Хуулиар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олгосон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нийтлэг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үүргийг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зорилт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</w:t>
            </w:r>
            <w:proofErr w:type="spellEnd"/>
          </w:p>
        </w:tc>
      </w:tr>
      <w:tr w:rsidR="00723D1A" w14:paraId="2E30359B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5FCBAF25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26" w:type="dxa"/>
          </w:tcPr>
          <w:p w14:paraId="240B0A3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дунд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богино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баримт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хамаарах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тайлагнах</w:t>
            </w:r>
            <w:proofErr w:type="spellEnd"/>
          </w:p>
        </w:tc>
        <w:tc>
          <w:tcPr>
            <w:tcW w:w="1134" w:type="dxa"/>
          </w:tcPr>
          <w:p w14:paraId="5692B4E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533814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1276" w:type="dxa"/>
          </w:tcPr>
          <w:p w14:paraId="33F3357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</w:tcPr>
          <w:p w14:paraId="14570AA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A41264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Төрийн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сүлжээ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нэгжийн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шуурхай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хурлын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баталгаажуулсан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Мөн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01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Идэвхтэй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хөдөлгөөн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lastRenderedPageBreak/>
              <w:t>эрүүл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хооллолт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бэрхшээлтэй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эрхийг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өдрийг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угтан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асран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нөлөөллийн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нэгжүүдэд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хүргэсэн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0672C31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3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711733E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2230336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1E7A1420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0A855095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2126" w:type="dxa"/>
          </w:tcPr>
          <w:p w14:paraId="37710C5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Хариуцсан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дагуу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F43A6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627078F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1276" w:type="dxa"/>
          </w:tcPr>
          <w:p w14:paraId="0FDDCB3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AC9BFE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38D36F8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26AAF3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тайлагнасан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71D09FA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53" w:type="dxa"/>
          </w:tcPr>
          <w:p w14:paraId="6B89BF3A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42CD1A0B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4C62D36F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126" w:type="dxa"/>
          </w:tcPr>
          <w:p w14:paraId="065631E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дунд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богино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баримт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хамаарах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тайлагнах</w:t>
            </w:r>
            <w:proofErr w:type="spellEnd"/>
          </w:p>
        </w:tc>
        <w:tc>
          <w:tcPr>
            <w:tcW w:w="1134" w:type="dxa"/>
          </w:tcPr>
          <w:p w14:paraId="33C61A7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1F1A74F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Зорилтын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</w:p>
        </w:tc>
        <w:tc>
          <w:tcPr>
            <w:tcW w:w="1276" w:type="dxa"/>
          </w:tcPr>
          <w:p w14:paraId="3EAC735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</w:tcPr>
          <w:p w14:paraId="78D2A5AD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</w:p>
        </w:tc>
        <w:tc>
          <w:tcPr>
            <w:tcW w:w="2835" w:type="dxa"/>
          </w:tcPr>
          <w:p w14:paraId="442AD775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Төрийн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сүлжээ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нэгжийн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шуурхай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хурлын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баталгаажуулсан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Мөн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01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"</w:t>
            </w:r>
            <w:proofErr w:type="spellStart"/>
            <w:r>
              <w:rPr>
                <w:sz w:val="22"/>
                <w:szCs w:val="22"/>
              </w:rPr>
              <w:t>Идэвхтэй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хөдөлгөөн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эрүүл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хооллолт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бэрхшээлтэй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эрхийг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өдрийг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угтан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асран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нөлөөллийн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нэгжүүдэд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хүргэсэн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3A9875DA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3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05EDF79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153F91E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22C4CAD3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516CEAA4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2126" w:type="dxa"/>
          </w:tcPr>
          <w:p w14:paraId="5A727CD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Алсын</w:t>
            </w:r>
            <w:proofErr w:type="spellEnd"/>
            <w:r>
              <w:rPr>
                <w:sz w:val="22"/>
                <w:szCs w:val="22"/>
              </w:rPr>
              <w:t xml:space="preserve"> хараа-2050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баримт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чиглэлээр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52BB66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901115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Зорилтын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</w:p>
        </w:tc>
        <w:tc>
          <w:tcPr>
            <w:tcW w:w="1276" w:type="dxa"/>
          </w:tcPr>
          <w:p w14:paraId="290214FD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FEBE91A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85A775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31A0355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Алсын</w:t>
            </w:r>
            <w:proofErr w:type="spellEnd"/>
            <w:r>
              <w:rPr>
                <w:sz w:val="22"/>
                <w:szCs w:val="22"/>
              </w:rPr>
              <w:t xml:space="preserve"> хараа-2050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баримт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чанартай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эзэмших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тэгш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боломж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бүрдүүлж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боловсролыг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хөгжил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амьдралын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баталгаа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суурь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туршдаа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тогтолцоог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бэхжүүлэх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зорилтын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2024-2028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хөтөлбөрийг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төлөвлөгөөнд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чиглэлээр</w:t>
            </w:r>
            <w:proofErr w:type="spellEnd"/>
            <w:r>
              <w:rPr>
                <w:sz w:val="22"/>
                <w:szCs w:val="22"/>
              </w:rPr>
              <w:t xml:space="preserve"> 4 </w:t>
            </w:r>
            <w:proofErr w:type="spellStart"/>
            <w:r>
              <w:rPr>
                <w:sz w:val="22"/>
                <w:szCs w:val="22"/>
              </w:rPr>
              <w:t>зорилт</w:t>
            </w:r>
            <w:proofErr w:type="spellEnd"/>
            <w:r>
              <w:rPr>
                <w:sz w:val="22"/>
                <w:szCs w:val="22"/>
              </w:rPr>
              <w:t xml:space="preserve"> 9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хамтран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хэрэгжүүлэхээр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йдын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09 </w:t>
            </w:r>
            <w:proofErr w:type="spellStart"/>
            <w:r>
              <w:rPr>
                <w:sz w:val="22"/>
                <w:szCs w:val="22"/>
              </w:rPr>
              <w:t>дүгээр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18-ны </w:t>
            </w:r>
            <w:proofErr w:type="spellStart"/>
            <w:r>
              <w:rPr>
                <w:sz w:val="22"/>
                <w:szCs w:val="22"/>
              </w:rPr>
              <w:t>өдрийн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2024-2028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хөтөлбөр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батлагдсантай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холбогдуулан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багтаан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төсөл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” 01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Идэвхтэй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хөдөлгөөн-Эрүүл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хооллолт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аяныг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төвөөр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дамжуулан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газарт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дугаар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23-ны </w:t>
            </w:r>
            <w:proofErr w:type="spellStart"/>
            <w:r>
              <w:rPr>
                <w:sz w:val="22"/>
                <w:szCs w:val="22"/>
              </w:rPr>
              <w:t>өдрийн</w:t>
            </w:r>
            <w:proofErr w:type="spellEnd"/>
            <w:r>
              <w:rPr>
                <w:sz w:val="22"/>
                <w:szCs w:val="22"/>
              </w:rPr>
              <w:t xml:space="preserve"> 2/1727 </w:t>
            </w:r>
            <w:proofErr w:type="spellStart"/>
            <w:r>
              <w:rPr>
                <w:sz w:val="22"/>
                <w:szCs w:val="22"/>
              </w:rPr>
              <w:t>дугаар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хүргүүлсэн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аяны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нийслэлийн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</w:t>
            </w:r>
            <w:proofErr w:type="spellEnd"/>
            <w:r>
              <w:rPr>
                <w:sz w:val="22"/>
                <w:szCs w:val="22"/>
              </w:rPr>
              <w:t xml:space="preserve"> 39,00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гаруй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иргэнийг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хамруулсан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A2B3F6B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5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182CCC8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09AF3D0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4E3D191E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72A5CA9B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126" w:type="dxa"/>
          </w:tcPr>
          <w:p w14:paraId="5D5A80D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дунд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богино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баримт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бичигт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хамаарах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тайлагнах</w:t>
            </w:r>
            <w:proofErr w:type="spellEnd"/>
          </w:p>
        </w:tc>
        <w:tc>
          <w:tcPr>
            <w:tcW w:w="1134" w:type="dxa"/>
          </w:tcPr>
          <w:p w14:paraId="740E6F2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14:paraId="68CA44D0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Зорилтын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хувь</w:t>
            </w:r>
            <w:proofErr w:type="spellEnd"/>
          </w:p>
        </w:tc>
        <w:tc>
          <w:tcPr>
            <w:tcW w:w="1276" w:type="dxa"/>
          </w:tcPr>
          <w:p w14:paraId="32BEDB45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835" w:type="dxa"/>
            <w:gridSpan w:val="2"/>
          </w:tcPr>
          <w:p w14:paraId="5EEEBBA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07A1205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Төрийн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сүлжээ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нэгжийн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шуурхай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хурлын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баталгаажуулсан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Мөн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01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Идэвхтэй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хөдөлгөөн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эрүүл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хооллолт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бэрхшээлтэй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эрхийг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өдрийг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угтан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асран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нөлөөллийн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нэгжүүдэд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хүргэсэн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B61EE43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3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06FE5F9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67A55F1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4BB7F1A1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18F97D1A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2126" w:type="dxa"/>
          </w:tcPr>
          <w:p w14:paraId="364102D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Хариуцсан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дагуу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хөтөлбөрийн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7160ADA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3AB41D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Зорилтын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</w:p>
        </w:tc>
        <w:tc>
          <w:tcPr>
            <w:tcW w:w="1276" w:type="dxa"/>
          </w:tcPr>
          <w:p w14:paraId="7C0A67B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639CCA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626D994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19D4A5A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09 </w:t>
            </w:r>
            <w:proofErr w:type="spellStart"/>
            <w:r>
              <w:rPr>
                <w:sz w:val="22"/>
                <w:szCs w:val="22"/>
              </w:rPr>
              <w:t>дүгээр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18-ны </w:t>
            </w:r>
            <w:proofErr w:type="spellStart"/>
            <w:r>
              <w:rPr>
                <w:sz w:val="22"/>
                <w:szCs w:val="22"/>
              </w:rPr>
              <w:t>өдрийн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Засгийн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газрын</w:t>
            </w:r>
            <w:proofErr w:type="spellEnd"/>
            <w:r>
              <w:rPr>
                <w:sz w:val="22"/>
                <w:szCs w:val="22"/>
              </w:rPr>
              <w:t xml:space="preserve"> 2024-2028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хөтөлбөр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батлагдсантай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холбогдуулан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багтаан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төсөл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” 01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Идэвхтэй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хөдөлгөөн-Эрүүл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хооллолт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аяныг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төвөөр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дамжуулан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газарт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оны</w:t>
            </w:r>
            <w:proofErr w:type="spellEnd"/>
            <w:r>
              <w:rPr>
                <w:sz w:val="22"/>
                <w:szCs w:val="22"/>
              </w:rPr>
              <w:t xml:space="preserve"> 10 </w:t>
            </w:r>
            <w:proofErr w:type="spellStart"/>
            <w:r>
              <w:rPr>
                <w:sz w:val="22"/>
                <w:szCs w:val="22"/>
              </w:rPr>
              <w:t>дугаар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23-ны </w:t>
            </w:r>
            <w:proofErr w:type="spellStart"/>
            <w:r>
              <w:rPr>
                <w:sz w:val="22"/>
                <w:szCs w:val="22"/>
              </w:rPr>
              <w:t>өдрийн</w:t>
            </w:r>
            <w:proofErr w:type="spellEnd"/>
            <w:r>
              <w:rPr>
                <w:sz w:val="22"/>
                <w:szCs w:val="22"/>
              </w:rPr>
              <w:t xml:space="preserve"> 2/1727 </w:t>
            </w:r>
            <w:proofErr w:type="spellStart"/>
            <w:r>
              <w:rPr>
                <w:sz w:val="22"/>
                <w:szCs w:val="22"/>
              </w:rPr>
              <w:t>дугаар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хүргүүлсэн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Тус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аяны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нийслэлийн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</w:t>
            </w:r>
            <w:r>
              <w:rPr>
                <w:sz w:val="22"/>
                <w:szCs w:val="22"/>
              </w:rPr>
              <w:t>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</w:t>
            </w:r>
            <w:proofErr w:type="spellEnd"/>
            <w:r>
              <w:rPr>
                <w:sz w:val="22"/>
                <w:szCs w:val="22"/>
              </w:rPr>
              <w:t xml:space="preserve"> 39,000 </w:t>
            </w:r>
            <w:proofErr w:type="spellStart"/>
            <w:r>
              <w:rPr>
                <w:sz w:val="22"/>
                <w:szCs w:val="22"/>
              </w:rPr>
              <w:t>гаруй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иргэнийг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хамруулсан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A3A1C37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5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1259225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0086BAC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682AD812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6ABD9410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126" w:type="dxa"/>
          </w:tcPr>
          <w:p w14:paraId="05E628A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Урт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дунд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богино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бодлогын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баримт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бичигт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тусгагдсан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хамаарах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хэмжээ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хугацаанд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оруулж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тайлагнах</w:t>
            </w:r>
            <w:proofErr w:type="spellEnd"/>
          </w:p>
        </w:tc>
        <w:tc>
          <w:tcPr>
            <w:tcW w:w="1134" w:type="dxa"/>
          </w:tcPr>
          <w:p w14:paraId="69B2EF73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0990BF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Зорилтын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</w:p>
        </w:tc>
        <w:tc>
          <w:tcPr>
            <w:tcW w:w="1276" w:type="dxa"/>
          </w:tcPr>
          <w:p w14:paraId="5A6D8A07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</w:tcPr>
          <w:p w14:paraId="37551353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</w:p>
        </w:tc>
        <w:tc>
          <w:tcPr>
            <w:tcW w:w="2835" w:type="dxa"/>
          </w:tcPr>
          <w:p w14:paraId="55D3166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Төрийн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сүлжээ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тогтоомж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тогтоол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шийдвэрийн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нэгжийн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шуурхай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хурлын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баталгаажуулсан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Мөн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Ерөнхий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сайдын</w:t>
            </w:r>
            <w:proofErr w:type="spellEnd"/>
            <w:r>
              <w:rPr>
                <w:sz w:val="22"/>
                <w:szCs w:val="22"/>
              </w:rPr>
              <w:t xml:space="preserve"> 01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даалгаврын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Идэвхтэй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хөдөлгөөн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lastRenderedPageBreak/>
              <w:t>эрүүл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хооллолт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аян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бэрхшээлтэй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эрхийг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өдрийг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угтан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асран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нөлөөллийн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нэгтгэн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нэгжүүдэд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хүргэсэн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E0EDFDC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3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3BAEB31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381A6894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2AEB2AE0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4EB0105E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2126" w:type="dxa"/>
          </w:tcPr>
          <w:p w14:paraId="5370BA3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Хариуцсан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Монгол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хөгжүүлэх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таван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үндсэн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төлөвлөгөөний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биелэлтийг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тайлагнана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6A4C88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1AAE39F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Зорилтын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шалгуур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</w:p>
        </w:tc>
        <w:tc>
          <w:tcPr>
            <w:tcW w:w="1276" w:type="dxa"/>
          </w:tcPr>
          <w:p w14:paraId="28F183E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45F0FD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5DEF5E6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Хэрэгжилт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хангагдсан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43068C0F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Хариуцсан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үүргийн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дагуу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Хөгжлийн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бэрхшээлтэй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эрхийг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өдрийг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угтан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хаагчид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суралцагчид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асран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хамгаалагчдад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чиглэсэн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нөлөөллийн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байгуулах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хүрээнд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аймаг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нийслэлийн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120 </w:t>
            </w:r>
            <w:proofErr w:type="spellStart"/>
            <w:r>
              <w:rPr>
                <w:sz w:val="22"/>
                <w:szCs w:val="22"/>
              </w:rPr>
              <w:t>албан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хаагч</w:t>
            </w:r>
            <w:proofErr w:type="spellEnd"/>
            <w:r>
              <w:rPr>
                <w:sz w:val="22"/>
                <w:szCs w:val="22"/>
              </w:rPr>
              <w:t xml:space="preserve">, 289 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, 311 </w:t>
            </w:r>
            <w:proofErr w:type="spellStart"/>
            <w:r>
              <w:rPr>
                <w:sz w:val="22"/>
                <w:szCs w:val="22"/>
              </w:rPr>
              <w:t>эцэг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хамгаалагч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нөлөөллийн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нийт</w:t>
            </w:r>
            <w:proofErr w:type="spellEnd"/>
            <w:r>
              <w:rPr>
                <w:sz w:val="22"/>
                <w:szCs w:val="22"/>
              </w:rPr>
              <w:t xml:space="preserve"> 8 </w:t>
            </w:r>
            <w:proofErr w:type="spellStart"/>
            <w:r>
              <w:rPr>
                <w:sz w:val="22"/>
                <w:szCs w:val="22"/>
              </w:rPr>
              <w:t>төрлийн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тэгш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хамрах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боловсролын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үйлчилгээний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онцлог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үйл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ажиллагааны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талаар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хүргэсэн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D37FD14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2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17F4DC1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27ACCAC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76E84CA4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1AD8A845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126" w:type="dxa"/>
          </w:tcPr>
          <w:p w14:paraId="04BC3131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Нийтийн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байдлын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Шилэн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дансны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хэрэгжилтийг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ажиллах</w:t>
            </w:r>
            <w:proofErr w:type="spellEnd"/>
          </w:p>
        </w:tc>
        <w:tc>
          <w:tcPr>
            <w:tcW w:w="1134" w:type="dxa"/>
          </w:tcPr>
          <w:p w14:paraId="42B7DB4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2263E84B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хэрэгжилтийн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хувь</w:t>
            </w:r>
            <w:proofErr w:type="spellEnd"/>
          </w:p>
        </w:tc>
        <w:tc>
          <w:tcPr>
            <w:tcW w:w="1276" w:type="dxa"/>
          </w:tcPr>
          <w:p w14:paraId="6DD3533E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</w:tcPr>
          <w:p w14:paraId="5F2D751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Хэлтсийн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холбогдох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нийтэд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DF2186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удирдах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ажилтанд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мэргэшлийн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зэрэг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хүчингүй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журамд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авах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Юнескогийн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төвөөс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Шанхай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хотноо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байгуулсан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Ирланд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сургуулийн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доктор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профессор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Сиамус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Туаматай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уулзалт</w:t>
            </w:r>
            <w:proofErr w:type="spellEnd"/>
            <w:r>
              <w:rPr>
                <w:sz w:val="22"/>
                <w:szCs w:val="22"/>
              </w:rPr>
              <w:t>, "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сургалтыг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орон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нутгийн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төлөөлөгч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удирдлагууд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хамтран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ажилладаг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байгууллагын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төлөөлөл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оролцсон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талаарх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</w:t>
            </w:r>
            <w:r>
              <w:rPr>
                <w:sz w:val="22"/>
                <w:szCs w:val="22"/>
              </w:rPr>
              <w:t>дээллийг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хуудсанд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байршуулсан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7B9FC6FD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4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3BA1DD82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53" w:type="dxa"/>
          </w:tcPr>
          <w:p w14:paraId="4BBB98F8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  <w:tr w:rsidR="00723D1A" w14:paraId="00A03253" w14:textId="77777777" w:rsidTr="00723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" w:type="dxa"/>
          </w:tcPr>
          <w:p w14:paraId="48D114A8" w14:textId="77777777" w:rsidR="00A734AC" w:rsidRDefault="00723D1A">
            <w:pPr>
              <w:spacing w:before="60" w:after="60" w:line="240" w:lineRule="auto"/>
              <w:ind w:left="100" w:right="100"/>
              <w:jc w:val="center"/>
            </w:pPr>
            <w:r>
              <w:rPr>
                <w:sz w:val="22"/>
                <w:szCs w:val="22"/>
              </w:rPr>
              <w:t>4.5.1</w:t>
            </w:r>
          </w:p>
        </w:tc>
        <w:tc>
          <w:tcPr>
            <w:tcW w:w="2126" w:type="dxa"/>
          </w:tcPr>
          <w:p w14:paraId="18124C3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Яамны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салбарын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байдлыг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ханган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102DC5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14:paraId="35CC6AFF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тоо</w:t>
            </w:r>
            <w:proofErr w:type="spellEnd"/>
          </w:p>
        </w:tc>
        <w:tc>
          <w:tcPr>
            <w:tcW w:w="1276" w:type="dxa"/>
          </w:tcPr>
          <w:p w14:paraId="7E318D9A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124C66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14:paraId="2F09BDD9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t>Нийтийн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байдлын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тухай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хуульд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бүх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мэдээлэл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байршсан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байна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23C4EAAD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багш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удирдах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ажилтанд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мэргэшлийн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зэрэг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олгох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хүчингүй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болгох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журамд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авах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Юнескогийн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төвөөс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Шанхай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хотноо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зохион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байгуулсан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олон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Ирланд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улсын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сургуулийн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доктор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профессор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Сиамус</w:t>
            </w:r>
            <w:proofErr w:type="spell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Туаматай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хийсэн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уулзалт</w:t>
            </w:r>
            <w:proofErr w:type="spellEnd"/>
            <w:r>
              <w:rPr>
                <w:sz w:val="22"/>
                <w:szCs w:val="22"/>
              </w:rPr>
              <w:t>, "</w:t>
            </w:r>
            <w:proofErr w:type="spellStart"/>
            <w:r>
              <w:rPr>
                <w:sz w:val="22"/>
                <w:szCs w:val="22"/>
              </w:rPr>
              <w:t>Суралцагч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хот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сургалтыг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туршийн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суралцахуйн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төвүүдийн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удирдлага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орон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нутгийн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төлөөлөгч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удирдлагууд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хамтран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ажилладаг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төрийн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байгууллагын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төлөөлөл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оролцсон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сургалтын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талаарх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эдээллийг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цахим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хуудсанд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байршуулсан</w:t>
            </w:r>
            <w:proofErr w:type="spellEnd"/>
            <w:r>
              <w:rPr>
                <w:sz w:val="22"/>
                <w:szCs w:val="22"/>
              </w:rPr>
              <w:t>. https://www.facebook.com/MinistryofEdu/posts/pfbid07e19P7u1XGMe3FcJ9N3tVcZZkL2171udsgMMerRcAGVhzrzbRhiLD8KoBvoE4Fgdl</w:t>
            </w:r>
          </w:p>
          <w:p w14:paraId="546BB534" w14:textId="77777777" w:rsidR="00A734AC" w:rsidRDefault="00723D1A">
            <w:pPr>
              <w:jc w:val="right"/>
            </w:pPr>
            <w:r>
              <w:rPr>
                <w:sz w:val="22"/>
                <w:szCs w:val="22"/>
              </w:rPr>
              <w:t xml:space="preserve">Хавсралт: 4 </w:t>
            </w:r>
            <w:proofErr w:type="spellStart"/>
            <w:r>
              <w:rPr>
                <w:sz w:val="22"/>
                <w:szCs w:val="22"/>
              </w:rPr>
              <w:t>файл</w:t>
            </w:r>
            <w:proofErr w:type="spellEnd"/>
          </w:p>
        </w:tc>
        <w:tc>
          <w:tcPr>
            <w:tcW w:w="1276" w:type="dxa"/>
          </w:tcPr>
          <w:p w14:paraId="43137B3C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53" w:type="dxa"/>
          </w:tcPr>
          <w:p w14:paraId="5D6B837D" w14:textId="77777777" w:rsidR="00A734AC" w:rsidRDefault="00723D1A">
            <w:pPr>
              <w:spacing w:before="60" w:after="60" w:line="240" w:lineRule="auto"/>
              <w:ind w:left="100" w:right="100"/>
              <w:jc w:val="both"/>
            </w:pPr>
            <w:r>
              <w:rPr>
                <w:sz w:val="22"/>
                <w:szCs w:val="22"/>
              </w:rPr>
              <w:t>100%</w:t>
            </w:r>
          </w:p>
        </w:tc>
      </w:tr>
    </w:tbl>
    <w:p w14:paraId="1CB73A73" w14:textId="77777777" w:rsidR="00A734AC" w:rsidRDefault="00723D1A">
      <w:pPr>
        <w:spacing w:before="500"/>
        <w:ind w:left="1000"/>
      </w:pPr>
      <w:proofErr w:type="spellStart"/>
      <w:r>
        <w:rPr>
          <w:i/>
          <w:iCs/>
          <w:sz w:val="22"/>
          <w:szCs w:val="22"/>
        </w:rPr>
        <w:t>Үнэлсэн</w:t>
      </w:r>
      <w:proofErr w:type="spellEnd"/>
      <w:r>
        <w:rPr>
          <w:i/>
          <w:iCs/>
          <w:sz w:val="22"/>
          <w:szCs w:val="22"/>
        </w:rPr>
        <w:t>:                                     .........................</w:t>
      </w:r>
    </w:p>
    <w:p w14:paraId="3C4A0C45" w14:textId="77777777" w:rsidR="00A734AC" w:rsidRDefault="00723D1A">
      <w:pPr>
        <w:spacing w:before="500"/>
        <w:ind w:left="1000"/>
      </w:pPr>
      <w:r>
        <w:rPr>
          <w:i/>
          <w:iCs/>
          <w:sz w:val="22"/>
          <w:szCs w:val="22"/>
        </w:rPr>
        <w:t>..........................................                       .........................</w:t>
      </w:r>
      <w:r>
        <w:rPr>
          <w:i/>
          <w:iCs/>
          <w:sz w:val="22"/>
          <w:szCs w:val="22"/>
        </w:rPr>
        <w:tab/>
        <w:t xml:space="preserve">            /................................./</w:t>
      </w:r>
    </w:p>
    <w:p w14:paraId="7FC584C6" w14:textId="77777777" w:rsidR="00A734AC" w:rsidRDefault="00723D1A">
      <w:pPr>
        <w:spacing w:before="100"/>
        <w:ind w:left="1000"/>
      </w:pPr>
      <w:r>
        <w:rPr>
          <w:i/>
          <w:iCs/>
          <w:sz w:val="22"/>
          <w:szCs w:val="22"/>
        </w:rPr>
        <w:lastRenderedPageBreak/>
        <w:t xml:space="preserve">   (</w:t>
      </w:r>
      <w:proofErr w:type="spellStart"/>
      <w:r>
        <w:rPr>
          <w:i/>
          <w:iCs/>
          <w:sz w:val="22"/>
          <w:szCs w:val="22"/>
        </w:rPr>
        <w:t>албан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sz w:val="22"/>
          <w:szCs w:val="22"/>
        </w:rPr>
        <w:t>тушаал</w:t>
      </w:r>
      <w:proofErr w:type="spellEnd"/>
      <w:r>
        <w:rPr>
          <w:i/>
          <w:iCs/>
          <w:sz w:val="22"/>
          <w:szCs w:val="22"/>
        </w:rPr>
        <w:t xml:space="preserve"> )</w:t>
      </w:r>
      <w:proofErr w:type="gramEnd"/>
      <w:r>
        <w:rPr>
          <w:i/>
          <w:iCs/>
          <w:sz w:val="22"/>
          <w:szCs w:val="22"/>
        </w:rPr>
        <w:t xml:space="preserve">                               </w:t>
      </w:r>
      <w:proofErr w:type="gramStart"/>
      <w:r>
        <w:rPr>
          <w:i/>
          <w:iCs/>
          <w:sz w:val="22"/>
          <w:szCs w:val="22"/>
        </w:rPr>
        <w:t xml:space="preserve">   (</w:t>
      </w:r>
      <w:proofErr w:type="spellStart"/>
      <w:proofErr w:type="gramEnd"/>
      <w:r>
        <w:rPr>
          <w:i/>
          <w:iCs/>
          <w:sz w:val="22"/>
          <w:szCs w:val="22"/>
        </w:rPr>
        <w:t>гарын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үсэг</w:t>
      </w:r>
      <w:proofErr w:type="spellEnd"/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  <w:t xml:space="preserve">    </w:t>
      </w:r>
    </w:p>
    <w:p w14:paraId="57839005" w14:textId="77777777" w:rsidR="00A734AC" w:rsidRDefault="00723D1A">
      <w:pPr>
        <w:spacing w:before="300"/>
        <w:ind w:left="1000"/>
      </w:pPr>
      <w:r>
        <w:rPr>
          <w:i/>
          <w:iCs/>
          <w:sz w:val="22"/>
          <w:szCs w:val="22"/>
        </w:rPr>
        <w:t xml:space="preserve">                                                                .........................</w:t>
      </w:r>
    </w:p>
    <w:p w14:paraId="6D3905D3" w14:textId="77777777" w:rsidR="00A734AC" w:rsidRDefault="00723D1A">
      <w:pPr>
        <w:spacing w:before="100"/>
        <w:ind w:left="1000"/>
      </w:pPr>
      <w:r>
        <w:rPr>
          <w:i/>
          <w:iCs/>
          <w:sz w:val="22"/>
          <w:szCs w:val="22"/>
        </w:rPr>
        <w:t xml:space="preserve">                                                                          (</w:t>
      </w:r>
      <w:proofErr w:type="spellStart"/>
      <w:r>
        <w:rPr>
          <w:i/>
          <w:iCs/>
          <w:sz w:val="22"/>
          <w:szCs w:val="22"/>
        </w:rPr>
        <w:t>огноо</w:t>
      </w:r>
      <w:proofErr w:type="spellEnd"/>
      <w:r>
        <w:rPr>
          <w:i/>
          <w:iCs/>
          <w:sz w:val="22"/>
          <w:szCs w:val="22"/>
        </w:rPr>
        <w:t>)</w:t>
      </w:r>
    </w:p>
    <w:p w14:paraId="3FA17314" w14:textId="77777777" w:rsidR="00A734AC" w:rsidRDefault="00723D1A">
      <w:pPr>
        <w:spacing w:before="500"/>
        <w:ind w:left="1000"/>
      </w:pPr>
      <w:proofErr w:type="spellStart"/>
      <w:r>
        <w:rPr>
          <w:i/>
          <w:iCs/>
          <w:sz w:val="22"/>
          <w:szCs w:val="22"/>
        </w:rPr>
        <w:t>Тайлагнасан</w:t>
      </w:r>
      <w:proofErr w:type="spellEnd"/>
      <w:r>
        <w:rPr>
          <w:i/>
          <w:iCs/>
          <w:sz w:val="22"/>
          <w:szCs w:val="22"/>
        </w:rPr>
        <w:t>:                                .........................</w:t>
      </w:r>
    </w:p>
    <w:p w14:paraId="2FC890D2" w14:textId="77777777" w:rsidR="00A734AC" w:rsidRDefault="00723D1A">
      <w:pPr>
        <w:spacing w:before="500"/>
        <w:ind w:left="1000"/>
      </w:pPr>
      <w:r>
        <w:rPr>
          <w:i/>
          <w:iCs/>
          <w:sz w:val="22"/>
          <w:szCs w:val="22"/>
        </w:rPr>
        <w:t>..........................................                       .........................</w:t>
      </w:r>
      <w:r>
        <w:rPr>
          <w:i/>
          <w:iCs/>
          <w:sz w:val="22"/>
          <w:szCs w:val="22"/>
        </w:rPr>
        <w:tab/>
        <w:t xml:space="preserve">            /................................./</w:t>
      </w:r>
    </w:p>
    <w:p w14:paraId="3C6897DD" w14:textId="77777777" w:rsidR="00A734AC" w:rsidRDefault="00723D1A">
      <w:pPr>
        <w:spacing w:before="100"/>
        <w:ind w:left="1000"/>
      </w:pPr>
      <w:r>
        <w:rPr>
          <w:i/>
          <w:iCs/>
          <w:sz w:val="22"/>
          <w:szCs w:val="22"/>
        </w:rPr>
        <w:t xml:space="preserve">   (</w:t>
      </w:r>
      <w:proofErr w:type="spellStart"/>
      <w:r>
        <w:rPr>
          <w:i/>
          <w:iCs/>
          <w:sz w:val="22"/>
          <w:szCs w:val="22"/>
        </w:rPr>
        <w:t>албан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sz w:val="22"/>
          <w:szCs w:val="22"/>
        </w:rPr>
        <w:t>тушаал</w:t>
      </w:r>
      <w:proofErr w:type="spellEnd"/>
      <w:r>
        <w:rPr>
          <w:i/>
          <w:iCs/>
          <w:sz w:val="22"/>
          <w:szCs w:val="22"/>
        </w:rPr>
        <w:t xml:space="preserve"> )</w:t>
      </w:r>
      <w:proofErr w:type="gramEnd"/>
      <w:r>
        <w:rPr>
          <w:i/>
          <w:iCs/>
          <w:sz w:val="22"/>
          <w:szCs w:val="22"/>
        </w:rPr>
        <w:t xml:space="preserve">                               </w:t>
      </w:r>
      <w:proofErr w:type="gramStart"/>
      <w:r>
        <w:rPr>
          <w:i/>
          <w:iCs/>
          <w:sz w:val="22"/>
          <w:szCs w:val="22"/>
        </w:rPr>
        <w:t xml:space="preserve">   (</w:t>
      </w:r>
      <w:proofErr w:type="spellStart"/>
      <w:proofErr w:type="gramEnd"/>
      <w:r>
        <w:rPr>
          <w:i/>
          <w:iCs/>
          <w:sz w:val="22"/>
          <w:szCs w:val="22"/>
        </w:rPr>
        <w:t>гарын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үсэг</w:t>
      </w:r>
      <w:proofErr w:type="spellEnd"/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  <w:t xml:space="preserve">    </w:t>
      </w:r>
    </w:p>
    <w:p w14:paraId="1396CF61" w14:textId="77777777" w:rsidR="00A734AC" w:rsidRDefault="00723D1A">
      <w:pPr>
        <w:spacing w:before="300"/>
        <w:ind w:left="1000"/>
      </w:pPr>
      <w:r>
        <w:rPr>
          <w:i/>
          <w:iCs/>
          <w:sz w:val="22"/>
          <w:szCs w:val="22"/>
        </w:rPr>
        <w:t xml:space="preserve">                                                                .........................</w:t>
      </w:r>
    </w:p>
    <w:p w14:paraId="1B9E8AC4" w14:textId="77777777" w:rsidR="00A734AC" w:rsidRDefault="00723D1A">
      <w:pPr>
        <w:spacing w:before="100"/>
        <w:ind w:left="1000"/>
      </w:pPr>
      <w:r>
        <w:rPr>
          <w:i/>
          <w:iCs/>
          <w:sz w:val="22"/>
          <w:szCs w:val="22"/>
        </w:rPr>
        <w:t xml:space="preserve">                                                                          (</w:t>
      </w:r>
      <w:proofErr w:type="spellStart"/>
      <w:r>
        <w:rPr>
          <w:i/>
          <w:iCs/>
          <w:sz w:val="22"/>
          <w:szCs w:val="22"/>
        </w:rPr>
        <w:t>огноо</w:t>
      </w:r>
      <w:proofErr w:type="spellEnd"/>
      <w:r>
        <w:rPr>
          <w:i/>
          <w:iCs/>
          <w:sz w:val="22"/>
          <w:szCs w:val="22"/>
        </w:rPr>
        <w:t>)</w:t>
      </w:r>
    </w:p>
    <w:sectPr w:rsidR="00A734AC">
      <w:pgSz w:w="16837" w:h="11905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AC"/>
    <w:rsid w:val="006B03B1"/>
    <w:rsid w:val="00723D1A"/>
    <w:rsid w:val="00A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D862"/>
  <w15:docId w15:val="{E5A34ED0-21B0-4558-97E8-3D9DE634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homeStyle">
    <w:name w:val="homeStyle"/>
    <w:rPr>
      <w:caps/>
      <w:smallCaps w:val="0"/>
      <w:color w:val="4472C4"/>
      <w:sz w:val="32"/>
      <w:szCs w:val="32"/>
    </w:rPr>
  </w:style>
  <w:style w:type="paragraph" w:customStyle="1" w:styleId="homePStyle">
    <w:name w:val="homePStyle"/>
    <w:basedOn w:val="Normal"/>
    <w:pPr>
      <w:jc w:val="center"/>
    </w:pPr>
  </w:style>
  <w:style w:type="character" w:customStyle="1" w:styleId="homeOrganStyle">
    <w:name w:val="homeOrganStyle"/>
    <w:rPr>
      <w:sz w:val="22"/>
      <w:szCs w:val="22"/>
    </w:rPr>
  </w:style>
  <w:style w:type="paragraph" w:customStyle="1" w:styleId="homePOrganStyle">
    <w:name w:val="homePOrganStyle"/>
    <w:basedOn w:val="Normal"/>
    <w:pPr>
      <w:spacing w:before="240"/>
      <w:ind w:left="500"/>
    </w:pPr>
  </w:style>
  <w:style w:type="character" w:customStyle="1" w:styleId="headerStyle">
    <w:name w:val="headerStyle"/>
    <w:rPr>
      <w:caps/>
      <w:smallCaps w:val="0"/>
      <w:sz w:val="28"/>
      <w:szCs w:val="28"/>
    </w:rPr>
  </w:style>
  <w:style w:type="paragraph" w:customStyle="1" w:styleId="headerPStyle">
    <w:name w:val="headerPStyle"/>
    <w:basedOn w:val="Normal"/>
    <w:pPr>
      <w:jc w:val="center"/>
    </w:pPr>
  </w:style>
  <w:style w:type="character" w:customStyle="1" w:styleId="subheaderStyle">
    <w:name w:val="subheaderStyle"/>
    <w:rPr>
      <w:caps/>
      <w:smallCaps w:val="0"/>
      <w:color w:val="4472C4"/>
      <w:sz w:val="20"/>
      <w:szCs w:val="20"/>
    </w:rPr>
  </w:style>
  <w:style w:type="character" w:customStyle="1" w:styleId="subheaderStyleBlack">
    <w:name w:val="subheaderStyleBlack"/>
    <w:rPr>
      <w:caps/>
      <w:smallCaps w:val="0"/>
      <w:sz w:val="20"/>
      <w:szCs w:val="20"/>
    </w:rPr>
  </w:style>
  <w:style w:type="paragraph" w:customStyle="1" w:styleId="subheaderPStyle">
    <w:name w:val="subheaderPStyle"/>
    <w:basedOn w:val="Normal"/>
    <w:pPr>
      <w:spacing w:before="240" w:after="100"/>
      <w:jc w:val="center"/>
    </w:pPr>
  </w:style>
  <w:style w:type="paragraph" w:customStyle="1" w:styleId="alignCenter">
    <w:name w:val="alignCenter"/>
    <w:basedOn w:val="Normal"/>
    <w:pPr>
      <w:jc w:val="center"/>
    </w:pPr>
  </w:style>
  <w:style w:type="paragraph" w:customStyle="1" w:styleId="pSectionStyle">
    <w:name w:val="pSectionStyle"/>
    <w:basedOn w:val="Normal"/>
    <w:pPr>
      <w:spacing w:line="240" w:lineRule="auto"/>
      <w:ind w:left="100" w:right="100"/>
      <w:jc w:val="center"/>
    </w:pPr>
  </w:style>
  <w:style w:type="character" w:customStyle="1" w:styleId="BoldText">
    <w:name w:val="BoldText"/>
    <w:rPr>
      <w:b/>
      <w:bCs/>
    </w:rPr>
  </w:style>
  <w:style w:type="paragraph" w:customStyle="1" w:styleId="pStyle">
    <w:name w:val="pStyle"/>
    <w:basedOn w:val="Normal"/>
    <w:pPr>
      <w:spacing w:before="240" w:line="240" w:lineRule="auto"/>
      <w:ind w:left="100" w:right="100"/>
      <w:jc w:val="both"/>
    </w:pPr>
  </w:style>
  <w:style w:type="character" w:customStyle="1" w:styleId="fs10">
    <w:name w:val="fs10"/>
    <w:rPr>
      <w:sz w:val="20"/>
      <w:szCs w:val="20"/>
    </w:rPr>
  </w:style>
  <w:style w:type="character" w:customStyle="1" w:styleId="fs9">
    <w:name w:val="fs9"/>
    <w:rPr>
      <w:sz w:val="18"/>
      <w:szCs w:val="18"/>
    </w:rPr>
  </w:style>
  <w:style w:type="table" w:customStyle="1" w:styleId="ColspanRowspan">
    <w:name w:val="Colspan Rowspan"/>
    <w:uiPriority w:val="99"/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2501</Words>
  <Characters>14258</Characters>
  <Application>Microsoft Office Word</Application>
  <DocSecurity>0</DocSecurity>
  <Lines>118</Lines>
  <Paragraphs>33</Paragraphs>
  <ScaleCrop>false</ScaleCrop>
  <Manager/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Одончимэг Доржготов</dc:creator>
  <cp:keywords/>
  <dc:description/>
  <cp:lastModifiedBy>Одончимэг Доржготов</cp:lastModifiedBy>
  <cp:revision>2</cp:revision>
  <dcterms:created xsi:type="dcterms:W3CDTF">2025-08-21T12:16:00Z</dcterms:created>
  <dcterms:modified xsi:type="dcterms:W3CDTF">2025-08-21T12:16:00Z</dcterms:modified>
  <cp:category/>
</cp:coreProperties>
</file>