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08" w:type="dxa"/>
        <w:tblLook w:val="04A0" w:firstRow="1" w:lastRow="0" w:firstColumn="1" w:lastColumn="0" w:noHBand="0" w:noVBand="1"/>
      </w:tblPr>
      <w:tblGrid>
        <w:gridCol w:w="512"/>
        <w:gridCol w:w="1432"/>
        <w:gridCol w:w="755"/>
        <w:gridCol w:w="1437"/>
        <w:gridCol w:w="639"/>
        <w:gridCol w:w="1135"/>
        <w:gridCol w:w="638"/>
        <w:gridCol w:w="1516"/>
        <w:gridCol w:w="3266"/>
        <w:gridCol w:w="1584"/>
        <w:gridCol w:w="1579"/>
        <w:gridCol w:w="15"/>
      </w:tblGrid>
      <w:tr w:rsidR="00366B9D" w:rsidRPr="0081596A" w14:paraId="550C1188" w14:textId="77777777" w:rsidTr="004E6AEA">
        <w:trPr>
          <w:gridAfter w:val="1"/>
          <w:wAfter w:w="15" w:type="dxa"/>
          <w:trHeight w:val="300"/>
        </w:trPr>
        <w:tc>
          <w:tcPr>
            <w:tcW w:w="526" w:type="dxa"/>
            <w:tcBorders>
              <w:top w:val="nil"/>
              <w:left w:val="nil"/>
              <w:bottom w:val="nil"/>
              <w:right w:val="nil"/>
            </w:tcBorders>
          </w:tcPr>
          <w:p w14:paraId="540C39AE" w14:textId="77777777" w:rsidR="00366B9D" w:rsidRPr="0081596A" w:rsidRDefault="00366B9D" w:rsidP="0081596A">
            <w:pPr>
              <w:spacing w:after="0" w:line="240" w:lineRule="auto"/>
              <w:jc w:val="center"/>
              <w:rPr>
                <w:rFonts w:ascii="Arial" w:eastAsia="Times New Roman" w:hAnsi="Arial" w:cs="Arial"/>
                <w:b/>
                <w:bCs/>
                <w:noProof/>
                <w:color w:val="000000"/>
                <w:sz w:val="20"/>
                <w:szCs w:val="20"/>
                <w:lang w:val="mn-MN"/>
              </w:rPr>
            </w:pPr>
          </w:p>
        </w:tc>
        <w:tc>
          <w:tcPr>
            <w:tcW w:w="13967" w:type="dxa"/>
            <w:gridSpan w:val="10"/>
            <w:tcBorders>
              <w:top w:val="nil"/>
              <w:left w:val="nil"/>
              <w:bottom w:val="nil"/>
              <w:right w:val="nil"/>
            </w:tcBorders>
            <w:shd w:val="clear" w:color="auto" w:fill="auto"/>
            <w:vAlign w:val="bottom"/>
            <w:hideMark/>
          </w:tcPr>
          <w:p w14:paraId="3539814F" w14:textId="77777777" w:rsidR="002E42E9" w:rsidRPr="002E42E9" w:rsidRDefault="00366B9D" w:rsidP="0081596A">
            <w:pPr>
              <w:spacing w:after="0" w:line="240" w:lineRule="auto"/>
              <w:jc w:val="center"/>
              <w:rPr>
                <w:rFonts w:ascii="Arial" w:eastAsia="Times New Roman" w:hAnsi="Arial" w:cs="Arial"/>
                <w:b/>
                <w:bCs/>
                <w:noProof/>
                <w:color w:val="000000"/>
                <w:lang w:val="mn-MN"/>
              </w:rPr>
            </w:pPr>
            <w:r w:rsidRPr="0081596A">
              <w:rPr>
                <w:rFonts w:ascii="Arial" w:eastAsia="Times New Roman" w:hAnsi="Arial" w:cs="Arial"/>
                <w:b/>
                <w:bCs/>
                <w:noProof/>
                <w:color w:val="000000"/>
                <w:lang w:val="mn-MN"/>
              </w:rPr>
              <w:t xml:space="preserve">“Шинэ сэргэлтийн бодлого”-ыг хэрэгжүүлэх эхний үе шатны </w:t>
            </w:r>
          </w:p>
          <w:p w14:paraId="1601905E" w14:textId="7153C1AA" w:rsidR="00366B9D" w:rsidRPr="0081596A" w:rsidRDefault="00366B9D" w:rsidP="0081596A">
            <w:pPr>
              <w:spacing w:after="0" w:line="240" w:lineRule="auto"/>
              <w:jc w:val="center"/>
              <w:rPr>
                <w:rFonts w:ascii="Arial" w:eastAsia="Times New Roman" w:hAnsi="Arial" w:cs="Arial"/>
                <w:b/>
                <w:bCs/>
                <w:noProof/>
                <w:color w:val="000000"/>
                <w:sz w:val="18"/>
                <w:szCs w:val="18"/>
                <w:lang w:val="mn-MN"/>
              </w:rPr>
            </w:pPr>
            <w:r w:rsidRPr="0081596A">
              <w:rPr>
                <w:rFonts w:ascii="Arial" w:eastAsia="Times New Roman" w:hAnsi="Arial" w:cs="Arial"/>
                <w:b/>
                <w:bCs/>
                <w:noProof/>
                <w:color w:val="000000"/>
                <w:lang w:val="mn-MN"/>
              </w:rPr>
              <w:t>үйл ажиллагааны хөтөлбөрийн  хэрэгжилт</w:t>
            </w:r>
          </w:p>
        </w:tc>
      </w:tr>
      <w:tr w:rsidR="00366B9D" w:rsidRPr="0081596A" w14:paraId="2E1CE5D4" w14:textId="77777777" w:rsidTr="004E6AEA">
        <w:trPr>
          <w:gridAfter w:val="1"/>
          <w:wAfter w:w="15" w:type="dxa"/>
          <w:trHeight w:val="300"/>
        </w:trPr>
        <w:tc>
          <w:tcPr>
            <w:tcW w:w="526" w:type="dxa"/>
            <w:tcBorders>
              <w:top w:val="nil"/>
              <w:left w:val="nil"/>
              <w:bottom w:val="nil"/>
              <w:right w:val="nil"/>
            </w:tcBorders>
          </w:tcPr>
          <w:p w14:paraId="4C51A65E" w14:textId="77777777" w:rsidR="00366B9D" w:rsidRPr="0081596A" w:rsidRDefault="00366B9D" w:rsidP="0081596A">
            <w:pPr>
              <w:spacing w:after="0" w:line="240" w:lineRule="auto"/>
              <w:jc w:val="center"/>
              <w:rPr>
                <w:rFonts w:ascii="Arial" w:eastAsia="Times New Roman" w:hAnsi="Arial" w:cs="Arial"/>
                <w:b/>
                <w:bCs/>
                <w:noProof/>
                <w:color w:val="000000"/>
                <w:sz w:val="18"/>
                <w:szCs w:val="18"/>
                <w:lang w:val="mn-MN"/>
              </w:rPr>
            </w:pPr>
          </w:p>
        </w:tc>
        <w:tc>
          <w:tcPr>
            <w:tcW w:w="1440" w:type="dxa"/>
            <w:tcBorders>
              <w:top w:val="nil"/>
              <w:left w:val="nil"/>
              <w:bottom w:val="nil"/>
              <w:right w:val="nil"/>
            </w:tcBorders>
            <w:shd w:val="clear" w:color="auto" w:fill="auto"/>
            <w:vAlign w:val="center"/>
            <w:hideMark/>
          </w:tcPr>
          <w:p w14:paraId="4B096EC4" w14:textId="740DB124" w:rsidR="00366B9D" w:rsidRPr="0081596A" w:rsidRDefault="00366B9D" w:rsidP="0081596A">
            <w:pPr>
              <w:spacing w:after="0" w:line="240" w:lineRule="auto"/>
              <w:jc w:val="center"/>
              <w:rPr>
                <w:rFonts w:ascii="Arial" w:eastAsia="Times New Roman" w:hAnsi="Arial" w:cs="Arial"/>
                <w:b/>
                <w:bCs/>
                <w:noProof/>
                <w:color w:val="000000"/>
                <w:sz w:val="18"/>
                <w:szCs w:val="18"/>
                <w:lang w:val="mn-MN"/>
              </w:rPr>
            </w:pPr>
          </w:p>
        </w:tc>
        <w:tc>
          <w:tcPr>
            <w:tcW w:w="12527" w:type="dxa"/>
            <w:gridSpan w:val="9"/>
            <w:tcBorders>
              <w:top w:val="nil"/>
              <w:left w:val="nil"/>
              <w:bottom w:val="nil"/>
              <w:right w:val="nil"/>
            </w:tcBorders>
            <w:shd w:val="clear" w:color="auto" w:fill="auto"/>
            <w:vAlign w:val="center"/>
            <w:hideMark/>
          </w:tcPr>
          <w:p w14:paraId="0BD479DD" w14:textId="71354E0C" w:rsidR="002E42E9" w:rsidRDefault="002E42E9" w:rsidP="002E42E9">
            <w:pPr>
              <w:spacing w:after="0" w:line="240" w:lineRule="auto"/>
              <w:rPr>
                <w:rFonts w:ascii="Arial" w:eastAsia="Times New Roman" w:hAnsi="Arial" w:cs="Arial"/>
                <w:noProof/>
                <w:color w:val="000000"/>
                <w:sz w:val="18"/>
                <w:szCs w:val="18"/>
                <w:lang w:val="mn-MN"/>
              </w:rPr>
            </w:pPr>
            <w:r>
              <w:rPr>
                <w:rFonts w:ascii="Arial" w:eastAsia="Times New Roman" w:hAnsi="Arial" w:cs="Arial"/>
                <w:noProof/>
                <w:color w:val="000000"/>
                <w:sz w:val="18"/>
                <w:szCs w:val="18"/>
                <w:lang w:val="mn-MN"/>
              </w:rPr>
              <w:t xml:space="preserve">                                                                              </w:t>
            </w:r>
            <w:r w:rsidR="00366B9D" w:rsidRPr="0081596A">
              <w:rPr>
                <w:rFonts w:ascii="Arial" w:eastAsia="Times New Roman" w:hAnsi="Arial" w:cs="Arial"/>
                <w:noProof/>
                <w:color w:val="000000"/>
                <w:sz w:val="18"/>
                <w:szCs w:val="18"/>
                <w:lang w:val="mn-MN"/>
              </w:rPr>
              <w:t xml:space="preserve">Боловсрол, шинжлэх ухааны яам  </w:t>
            </w:r>
          </w:p>
          <w:p w14:paraId="43EB1F4F" w14:textId="6DFA6426" w:rsidR="00366B9D" w:rsidRPr="0081596A" w:rsidRDefault="002E42E9" w:rsidP="002E42E9">
            <w:pPr>
              <w:spacing w:after="0" w:line="240" w:lineRule="auto"/>
              <w:rPr>
                <w:rFonts w:ascii="Arial" w:eastAsia="Times New Roman" w:hAnsi="Arial" w:cs="Arial"/>
                <w:noProof/>
                <w:color w:val="000000"/>
                <w:sz w:val="18"/>
                <w:szCs w:val="18"/>
                <w:lang w:val="mn-MN"/>
              </w:rPr>
            </w:pPr>
            <w:r>
              <w:rPr>
                <w:rFonts w:ascii="Arial" w:eastAsia="Times New Roman" w:hAnsi="Arial" w:cs="Arial"/>
                <w:noProof/>
                <w:color w:val="000000"/>
                <w:sz w:val="18"/>
                <w:szCs w:val="18"/>
                <w:lang w:val="mn-MN"/>
              </w:rPr>
              <w:t xml:space="preserve">                                                                      </w:t>
            </w:r>
            <w:r w:rsidR="00366B9D" w:rsidRPr="0081596A">
              <w:rPr>
                <w:rFonts w:ascii="Arial" w:eastAsia="Times New Roman" w:hAnsi="Arial" w:cs="Arial"/>
                <w:noProof/>
                <w:color w:val="000000"/>
                <w:sz w:val="18"/>
                <w:szCs w:val="18"/>
                <w:lang w:val="mn-MN"/>
              </w:rPr>
              <w:t xml:space="preserve"> /2022 оны эхний хагас жилийн байдлаар/</w:t>
            </w:r>
          </w:p>
        </w:tc>
      </w:tr>
      <w:tr w:rsidR="004E6AEA" w:rsidRPr="0081596A" w14:paraId="3B257029" w14:textId="77777777" w:rsidTr="004E6AEA">
        <w:trPr>
          <w:trHeight w:val="300"/>
        </w:trPr>
        <w:tc>
          <w:tcPr>
            <w:tcW w:w="526" w:type="dxa"/>
            <w:tcBorders>
              <w:top w:val="nil"/>
              <w:left w:val="nil"/>
              <w:bottom w:val="nil"/>
              <w:right w:val="nil"/>
            </w:tcBorders>
          </w:tcPr>
          <w:p w14:paraId="0094EACB" w14:textId="77777777" w:rsidR="00366B9D" w:rsidRPr="0081596A" w:rsidRDefault="00366B9D" w:rsidP="0081596A">
            <w:pPr>
              <w:spacing w:after="0" w:line="240" w:lineRule="auto"/>
              <w:jc w:val="center"/>
              <w:rPr>
                <w:rFonts w:ascii="Arial" w:eastAsia="Times New Roman" w:hAnsi="Arial" w:cs="Arial"/>
                <w:noProof/>
                <w:color w:val="000000"/>
                <w:sz w:val="18"/>
                <w:szCs w:val="18"/>
                <w:lang w:val="mn-MN"/>
              </w:rPr>
            </w:pPr>
          </w:p>
        </w:tc>
        <w:tc>
          <w:tcPr>
            <w:tcW w:w="1440" w:type="dxa"/>
            <w:tcBorders>
              <w:top w:val="nil"/>
              <w:left w:val="nil"/>
              <w:bottom w:val="nil"/>
              <w:right w:val="nil"/>
            </w:tcBorders>
            <w:shd w:val="clear" w:color="auto" w:fill="auto"/>
            <w:vAlign w:val="center"/>
            <w:hideMark/>
          </w:tcPr>
          <w:p w14:paraId="25A9BE79" w14:textId="73683A63" w:rsidR="00366B9D" w:rsidRPr="0081596A" w:rsidRDefault="00366B9D" w:rsidP="0081596A">
            <w:pPr>
              <w:spacing w:after="0" w:line="240" w:lineRule="auto"/>
              <w:jc w:val="center"/>
              <w:rPr>
                <w:rFonts w:ascii="Arial" w:eastAsia="Times New Roman" w:hAnsi="Arial" w:cs="Arial"/>
                <w:noProof/>
                <w:color w:val="000000"/>
                <w:sz w:val="18"/>
                <w:szCs w:val="18"/>
                <w:lang w:val="mn-MN"/>
              </w:rPr>
            </w:pPr>
          </w:p>
        </w:tc>
        <w:tc>
          <w:tcPr>
            <w:tcW w:w="755" w:type="dxa"/>
            <w:tcBorders>
              <w:top w:val="nil"/>
              <w:left w:val="nil"/>
              <w:bottom w:val="nil"/>
              <w:right w:val="nil"/>
            </w:tcBorders>
            <w:shd w:val="clear" w:color="auto" w:fill="auto"/>
            <w:vAlign w:val="center"/>
            <w:hideMark/>
          </w:tcPr>
          <w:p w14:paraId="7BFCF43B" w14:textId="77777777" w:rsidR="00366B9D" w:rsidRPr="0081596A" w:rsidRDefault="00366B9D" w:rsidP="0081596A">
            <w:pPr>
              <w:spacing w:after="0" w:line="240" w:lineRule="auto"/>
              <w:jc w:val="center"/>
              <w:rPr>
                <w:rFonts w:ascii="Arial" w:eastAsia="Times New Roman" w:hAnsi="Arial" w:cs="Arial"/>
                <w:noProof/>
                <w:sz w:val="18"/>
                <w:szCs w:val="18"/>
                <w:lang w:val="mn-MN"/>
              </w:rPr>
            </w:pPr>
          </w:p>
        </w:tc>
        <w:tc>
          <w:tcPr>
            <w:tcW w:w="1449" w:type="dxa"/>
            <w:tcBorders>
              <w:top w:val="nil"/>
              <w:left w:val="nil"/>
              <w:bottom w:val="nil"/>
              <w:right w:val="nil"/>
            </w:tcBorders>
            <w:shd w:val="clear" w:color="auto" w:fill="auto"/>
            <w:vAlign w:val="center"/>
            <w:hideMark/>
          </w:tcPr>
          <w:p w14:paraId="32327831" w14:textId="77777777" w:rsidR="00366B9D" w:rsidRPr="0081596A" w:rsidRDefault="00366B9D" w:rsidP="0081596A">
            <w:pPr>
              <w:spacing w:after="0" w:line="240" w:lineRule="auto"/>
              <w:jc w:val="center"/>
              <w:rPr>
                <w:rFonts w:ascii="Arial" w:eastAsia="Times New Roman" w:hAnsi="Arial" w:cs="Arial"/>
                <w:noProof/>
                <w:sz w:val="18"/>
                <w:szCs w:val="18"/>
                <w:lang w:val="mn-MN"/>
              </w:rPr>
            </w:pPr>
          </w:p>
        </w:tc>
        <w:tc>
          <w:tcPr>
            <w:tcW w:w="643" w:type="dxa"/>
            <w:tcBorders>
              <w:top w:val="nil"/>
              <w:left w:val="nil"/>
              <w:bottom w:val="nil"/>
              <w:right w:val="nil"/>
            </w:tcBorders>
            <w:shd w:val="clear" w:color="auto" w:fill="auto"/>
            <w:vAlign w:val="center"/>
            <w:hideMark/>
          </w:tcPr>
          <w:p w14:paraId="5539B3E9" w14:textId="77777777" w:rsidR="00366B9D" w:rsidRPr="0081596A" w:rsidRDefault="00366B9D" w:rsidP="0081596A">
            <w:pPr>
              <w:spacing w:after="0" w:line="240" w:lineRule="auto"/>
              <w:jc w:val="center"/>
              <w:rPr>
                <w:rFonts w:ascii="Arial" w:eastAsia="Times New Roman" w:hAnsi="Arial" w:cs="Arial"/>
                <w:noProof/>
                <w:sz w:val="18"/>
                <w:szCs w:val="18"/>
                <w:lang w:val="mn-MN"/>
              </w:rPr>
            </w:pPr>
          </w:p>
        </w:tc>
        <w:tc>
          <w:tcPr>
            <w:tcW w:w="1143" w:type="dxa"/>
            <w:tcBorders>
              <w:top w:val="nil"/>
              <w:left w:val="nil"/>
              <w:bottom w:val="nil"/>
              <w:right w:val="nil"/>
            </w:tcBorders>
            <w:shd w:val="clear" w:color="auto" w:fill="auto"/>
            <w:vAlign w:val="center"/>
            <w:hideMark/>
          </w:tcPr>
          <w:p w14:paraId="21B7CFC2" w14:textId="77777777" w:rsidR="00366B9D" w:rsidRPr="0081596A" w:rsidRDefault="00366B9D" w:rsidP="0081596A">
            <w:pPr>
              <w:spacing w:after="0" w:line="240" w:lineRule="auto"/>
              <w:jc w:val="center"/>
              <w:rPr>
                <w:rFonts w:ascii="Arial" w:eastAsia="Times New Roman" w:hAnsi="Arial" w:cs="Arial"/>
                <w:noProof/>
                <w:sz w:val="18"/>
                <w:szCs w:val="18"/>
                <w:lang w:val="mn-MN"/>
              </w:rPr>
            </w:pPr>
          </w:p>
        </w:tc>
        <w:tc>
          <w:tcPr>
            <w:tcW w:w="642" w:type="dxa"/>
            <w:tcBorders>
              <w:top w:val="nil"/>
              <w:left w:val="nil"/>
              <w:bottom w:val="nil"/>
              <w:right w:val="nil"/>
            </w:tcBorders>
            <w:shd w:val="clear" w:color="auto" w:fill="auto"/>
            <w:vAlign w:val="center"/>
            <w:hideMark/>
          </w:tcPr>
          <w:p w14:paraId="23A9FE59" w14:textId="77777777" w:rsidR="00366B9D" w:rsidRPr="0081596A" w:rsidRDefault="00366B9D" w:rsidP="0081596A">
            <w:pPr>
              <w:spacing w:after="0" w:line="240" w:lineRule="auto"/>
              <w:jc w:val="center"/>
              <w:rPr>
                <w:rFonts w:ascii="Arial" w:eastAsia="Times New Roman" w:hAnsi="Arial" w:cs="Arial"/>
                <w:noProof/>
                <w:sz w:val="18"/>
                <w:szCs w:val="18"/>
                <w:lang w:val="mn-MN"/>
              </w:rPr>
            </w:pPr>
          </w:p>
        </w:tc>
        <w:tc>
          <w:tcPr>
            <w:tcW w:w="1516" w:type="dxa"/>
            <w:tcBorders>
              <w:top w:val="nil"/>
              <w:left w:val="nil"/>
              <w:bottom w:val="nil"/>
              <w:right w:val="nil"/>
            </w:tcBorders>
            <w:shd w:val="clear" w:color="auto" w:fill="auto"/>
            <w:vAlign w:val="center"/>
            <w:hideMark/>
          </w:tcPr>
          <w:p w14:paraId="4B8F7100" w14:textId="77777777" w:rsidR="00366B9D" w:rsidRPr="0081596A" w:rsidRDefault="00366B9D" w:rsidP="0081596A">
            <w:pPr>
              <w:spacing w:after="0" w:line="240" w:lineRule="auto"/>
              <w:jc w:val="center"/>
              <w:rPr>
                <w:rFonts w:ascii="Arial" w:eastAsia="Times New Roman" w:hAnsi="Arial" w:cs="Arial"/>
                <w:noProof/>
                <w:sz w:val="18"/>
                <w:szCs w:val="18"/>
                <w:lang w:val="mn-MN"/>
              </w:rPr>
            </w:pPr>
          </w:p>
        </w:tc>
        <w:tc>
          <w:tcPr>
            <w:tcW w:w="3510" w:type="dxa"/>
            <w:tcBorders>
              <w:top w:val="nil"/>
              <w:left w:val="nil"/>
              <w:bottom w:val="nil"/>
              <w:right w:val="nil"/>
            </w:tcBorders>
            <w:shd w:val="clear" w:color="auto" w:fill="auto"/>
            <w:vAlign w:val="center"/>
            <w:hideMark/>
          </w:tcPr>
          <w:p w14:paraId="58EEF094" w14:textId="77777777" w:rsidR="00366B9D" w:rsidRPr="0081596A" w:rsidRDefault="00366B9D" w:rsidP="0081596A">
            <w:pPr>
              <w:spacing w:after="0" w:line="240" w:lineRule="auto"/>
              <w:jc w:val="center"/>
              <w:rPr>
                <w:rFonts w:ascii="Arial" w:eastAsia="Times New Roman" w:hAnsi="Arial" w:cs="Arial"/>
                <w:noProof/>
                <w:sz w:val="18"/>
                <w:szCs w:val="18"/>
                <w:lang w:val="mn-MN"/>
              </w:rPr>
            </w:pPr>
          </w:p>
        </w:tc>
        <w:tc>
          <w:tcPr>
            <w:tcW w:w="1246" w:type="dxa"/>
            <w:tcBorders>
              <w:top w:val="nil"/>
              <w:left w:val="nil"/>
              <w:bottom w:val="nil"/>
              <w:right w:val="nil"/>
            </w:tcBorders>
            <w:shd w:val="clear" w:color="auto" w:fill="auto"/>
            <w:vAlign w:val="center"/>
            <w:hideMark/>
          </w:tcPr>
          <w:p w14:paraId="619046F7" w14:textId="77777777" w:rsidR="00366B9D" w:rsidRPr="0081596A" w:rsidRDefault="00366B9D" w:rsidP="0081596A">
            <w:pPr>
              <w:spacing w:after="0" w:line="240" w:lineRule="auto"/>
              <w:jc w:val="center"/>
              <w:rPr>
                <w:rFonts w:ascii="Arial" w:eastAsia="Times New Roman" w:hAnsi="Arial" w:cs="Arial"/>
                <w:noProof/>
                <w:sz w:val="18"/>
                <w:szCs w:val="18"/>
                <w:lang w:val="mn-MN"/>
              </w:rPr>
            </w:pPr>
          </w:p>
        </w:tc>
        <w:tc>
          <w:tcPr>
            <w:tcW w:w="1638" w:type="dxa"/>
            <w:gridSpan w:val="2"/>
            <w:tcBorders>
              <w:top w:val="nil"/>
              <w:left w:val="nil"/>
              <w:bottom w:val="nil"/>
              <w:right w:val="nil"/>
            </w:tcBorders>
            <w:shd w:val="clear" w:color="auto" w:fill="auto"/>
            <w:vAlign w:val="center"/>
            <w:hideMark/>
          </w:tcPr>
          <w:p w14:paraId="76FF4C77" w14:textId="77777777" w:rsidR="00366B9D" w:rsidRPr="0081596A" w:rsidRDefault="00366B9D" w:rsidP="0081596A">
            <w:pPr>
              <w:spacing w:after="0" w:line="240" w:lineRule="auto"/>
              <w:jc w:val="center"/>
              <w:rPr>
                <w:rFonts w:ascii="Arial" w:eastAsia="Times New Roman" w:hAnsi="Arial" w:cs="Arial"/>
                <w:noProof/>
                <w:sz w:val="18"/>
                <w:szCs w:val="18"/>
                <w:lang w:val="mn-MN"/>
              </w:rPr>
            </w:pPr>
          </w:p>
        </w:tc>
      </w:tr>
      <w:tr w:rsidR="00500B3D" w:rsidRPr="0081596A" w14:paraId="43E6D764" w14:textId="77777777" w:rsidTr="004E6AEA">
        <w:trPr>
          <w:trHeight w:val="508"/>
        </w:trPr>
        <w:tc>
          <w:tcPr>
            <w:tcW w:w="526" w:type="dxa"/>
            <w:vMerge w:val="restart"/>
            <w:tcBorders>
              <w:top w:val="single" w:sz="4" w:space="0" w:color="auto"/>
              <w:left w:val="single" w:sz="4" w:space="0" w:color="auto"/>
              <w:right w:val="single" w:sz="4" w:space="0" w:color="auto"/>
            </w:tcBorders>
            <w:shd w:val="clear" w:color="000000" w:fill="F2F2F2"/>
          </w:tcPr>
          <w:p w14:paraId="38FE67A3" w14:textId="77777777" w:rsidR="00500B3D" w:rsidRDefault="00500B3D" w:rsidP="0081596A">
            <w:pPr>
              <w:spacing w:after="0" w:line="240" w:lineRule="auto"/>
              <w:jc w:val="center"/>
              <w:rPr>
                <w:rFonts w:ascii="Arial" w:eastAsia="Times New Roman" w:hAnsi="Arial" w:cs="Arial"/>
                <w:b/>
                <w:bCs/>
                <w:i/>
                <w:iCs/>
                <w:noProof/>
                <w:color w:val="000000"/>
                <w:sz w:val="18"/>
                <w:szCs w:val="18"/>
                <w:lang w:val="mn-MN"/>
              </w:rPr>
            </w:pPr>
          </w:p>
          <w:p w14:paraId="678C5BAF" w14:textId="77777777" w:rsidR="00500B3D" w:rsidRDefault="00500B3D" w:rsidP="0081596A">
            <w:pPr>
              <w:spacing w:after="0" w:line="240" w:lineRule="auto"/>
              <w:jc w:val="center"/>
              <w:rPr>
                <w:rFonts w:ascii="Arial" w:eastAsia="Times New Roman" w:hAnsi="Arial" w:cs="Arial"/>
                <w:b/>
                <w:bCs/>
                <w:i/>
                <w:iCs/>
                <w:noProof/>
                <w:color w:val="000000"/>
                <w:sz w:val="18"/>
                <w:szCs w:val="18"/>
                <w:lang w:val="mn-MN"/>
              </w:rPr>
            </w:pPr>
          </w:p>
          <w:p w14:paraId="5CE1CF8D" w14:textId="0EA62EC8" w:rsidR="00500B3D" w:rsidRPr="0081596A" w:rsidRDefault="00500B3D" w:rsidP="0081596A">
            <w:pPr>
              <w:spacing w:after="0" w:line="240" w:lineRule="auto"/>
              <w:jc w:val="center"/>
              <w:rPr>
                <w:rFonts w:ascii="Arial" w:eastAsia="Times New Roman" w:hAnsi="Arial" w:cs="Arial"/>
                <w:b/>
                <w:bCs/>
                <w:i/>
                <w:iCs/>
                <w:noProof/>
                <w:color w:val="000000"/>
                <w:sz w:val="18"/>
                <w:szCs w:val="18"/>
                <w:lang w:val="mn-MN"/>
              </w:rPr>
            </w:pPr>
            <w:r>
              <w:rPr>
                <w:rFonts w:ascii="Arial" w:eastAsia="Times New Roman" w:hAnsi="Arial" w:cs="Arial"/>
                <w:b/>
                <w:bCs/>
                <w:i/>
                <w:iCs/>
                <w:noProof/>
                <w:color w:val="000000"/>
                <w:sz w:val="18"/>
                <w:szCs w:val="18"/>
                <w:lang w:val="mn-MN"/>
              </w:rPr>
              <w:t>№</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64CA359" w14:textId="6C0026EA" w:rsidR="00500B3D" w:rsidRPr="0081596A" w:rsidRDefault="00500B3D" w:rsidP="0081596A">
            <w:pPr>
              <w:spacing w:after="0" w:line="240" w:lineRule="auto"/>
              <w:jc w:val="center"/>
              <w:rPr>
                <w:rFonts w:ascii="Arial" w:eastAsia="Times New Roman" w:hAnsi="Arial" w:cs="Arial"/>
                <w:b/>
                <w:bCs/>
                <w:i/>
                <w:iCs/>
                <w:noProof/>
                <w:color w:val="000000"/>
                <w:sz w:val="18"/>
                <w:szCs w:val="18"/>
                <w:lang w:val="mn-MN"/>
              </w:rPr>
            </w:pPr>
            <w:r w:rsidRPr="0081596A">
              <w:rPr>
                <w:rFonts w:ascii="Arial" w:eastAsia="Times New Roman" w:hAnsi="Arial" w:cs="Arial"/>
                <w:b/>
                <w:bCs/>
                <w:i/>
                <w:iCs/>
                <w:noProof/>
                <w:color w:val="000000"/>
                <w:sz w:val="18"/>
                <w:szCs w:val="18"/>
                <w:lang w:val="mn-MN"/>
              </w:rPr>
              <w:t>Хэрэгжүүлэх арга хэмжээ</w:t>
            </w:r>
          </w:p>
        </w:tc>
        <w:tc>
          <w:tcPr>
            <w:tcW w:w="75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52347A0" w14:textId="77777777" w:rsidR="00500B3D" w:rsidRPr="0081596A" w:rsidRDefault="00500B3D" w:rsidP="0081596A">
            <w:pPr>
              <w:spacing w:after="0" w:line="240" w:lineRule="auto"/>
              <w:jc w:val="center"/>
              <w:rPr>
                <w:rFonts w:ascii="Arial" w:eastAsia="Times New Roman" w:hAnsi="Arial" w:cs="Arial"/>
                <w:b/>
                <w:bCs/>
                <w:i/>
                <w:iCs/>
                <w:noProof/>
                <w:color w:val="000000"/>
                <w:sz w:val="18"/>
                <w:szCs w:val="18"/>
                <w:lang w:val="mn-MN"/>
              </w:rPr>
            </w:pPr>
            <w:r w:rsidRPr="0081596A">
              <w:rPr>
                <w:rFonts w:ascii="Arial" w:eastAsia="Times New Roman" w:hAnsi="Arial" w:cs="Arial"/>
                <w:b/>
                <w:bCs/>
                <w:i/>
                <w:iCs/>
                <w:noProof/>
                <w:color w:val="000000"/>
                <w:sz w:val="18"/>
                <w:szCs w:val="18"/>
                <w:lang w:val="mn-MN"/>
              </w:rPr>
              <w:t>Төсөв</w:t>
            </w:r>
          </w:p>
        </w:tc>
        <w:tc>
          <w:tcPr>
            <w:tcW w:w="144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57FAB1B" w14:textId="77777777" w:rsidR="00500B3D" w:rsidRPr="0081596A" w:rsidRDefault="00500B3D" w:rsidP="0081596A">
            <w:pPr>
              <w:spacing w:after="0" w:line="240" w:lineRule="auto"/>
              <w:jc w:val="center"/>
              <w:rPr>
                <w:rFonts w:ascii="Arial" w:eastAsia="Times New Roman" w:hAnsi="Arial" w:cs="Arial"/>
                <w:b/>
                <w:bCs/>
                <w:i/>
                <w:iCs/>
                <w:noProof/>
                <w:color w:val="000000"/>
                <w:sz w:val="18"/>
                <w:szCs w:val="18"/>
                <w:lang w:val="mn-MN"/>
              </w:rPr>
            </w:pPr>
            <w:r w:rsidRPr="0081596A">
              <w:rPr>
                <w:rFonts w:ascii="Arial" w:eastAsia="Times New Roman" w:hAnsi="Arial" w:cs="Arial"/>
                <w:b/>
                <w:bCs/>
                <w:i/>
                <w:iCs/>
                <w:noProof/>
                <w:color w:val="000000"/>
                <w:sz w:val="18"/>
                <w:szCs w:val="18"/>
                <w:lang w:val="mn-MN"/>
              </w:rPr>
              <w:t>Үр дүнгийн шалгуур үзүүлэлт</w:t>
            </w:r>
          </w:p>
        </w:tc>
        <w:tc>
          <w:tcPr>
            <w:tcW w:w="1786" w:type="dxa"/>
            <w:gridSpan w:val="2"/>
            <w:tcBorders>
              <w:top w:val="single" w:sz="4" w:space="0" w:color="auto"/>
              <w:left w:val="nil"/>
              <w:bottom w:val="single" w:sz="4" w:space="0" w:color="auto"/>
              <w:right w:val="single" w:sz="4" w:space="0" w:color="auto"/>
            </w:tcBorders>
            <w:shd w:val="clear" w:color="000000" w:fill="F2F2F2"/>
            <w:vAlign w:val="center"/>
            <w:hideMark/>
          </w:tcPr>
          <w:p w14:paraId="5DD3E673" w14:textId="77777777" w:rsidR="00500B3D" w:rsidRPr="0081596A" w:rsidRDefault="00500B3D" w:rsidP="0081596A">
            <w:pPr>
              <w:spacing w:after="0" w:line="240" w:lineRule="auto"/>
              <w:jc w:val="center"/>
              <w:rPr>
                <w:rFonts w:ascii="Arial" w:eastAsia="Times New Roman" w:hAnsi="Arial" w:cs="Arial"/>
                <w:b/>
                <w:bCs/>
                <w:i/>
                <w:iCs/>
                <w:noProof/>
                <w:color w:val="000000"/>
                <w:sz w:val="18"/>
                <w:szCs w:val="18"/>
                <w:lang w:val="mn-MN"/>
              </w:rPr>
            </w:pPr>
            <w:r w:rsidRPr="0081596A">
              <w:rPr>
                <w:rFonts w:ascii="Arial" w:eastAsia="Times New Roman" w:hAnsi="Arial" w:cs="Arial"/>
                <w:b/>
                <w:bCs/>
                <w:i/>
                <w:iCs/>
                <w:noProof/>
                <w:color w:val="000000"/>
                <w:sz w:val="18"/>
                <w:szCs w:val="18"/>
                <w:lang w:val="mn-MN"/>
              </w:rPr>
              <w:t>Суурь түвшин</w:t>
            </w:r>
          </w:p>
        </w:tc>
        <w:tc>
          <w:tcPr>
            <w:tcW w:w="2158" w:type="dxa"/>
            <w:gridSpan w:val="2"/>
            <w:tcBorders>
              <w:top w:val="single" w:sz="4" w:space="0" w:color="auto"/>
              <w:left w:val="nil"/>
              <w:bottom w:val="single" w:sz="4" w:space="0" w:color="auto"/>
              <w:right w:val="single" w:sz="4" w:space="0" w:color="auto"/>
            </w:tcBorders>
            <w:shd w:val="clear" w:color="000000" w:fill="F2F2F2"/>
            <w:vAlign w:val="center"/>
            <w:hideMark/>
          </w:tcPr>
          <w:p w14:paraId="253CBA19" w14:textId="77777777" w:rsidR="00500B3D" w:rsidRPr="0081596A" w:rsidRDefault="00500B3D" w:rsidP="0081596A">
            <w:pPr>
              <w:spacing w:after="0" w:line="240" w:lineRule="auto"/>
              <w:jc w:val="center"/>
              <w:rPr>
                <w:rFonts w:ascii="Arial" w:eastAsia="Times New Roman" w:hAnsi="Arial" w:cs="Arial"/>
                <w:b/>
                <w:bCs/>
                <w:i/>
                <w:iCs/>
                <w:noProof/>
                <w:color w:val="000000"/>
                <w:sz w:val="18"/>
                <w:szCs w:val="18"/>
                <w:lang w:val="mn-MN"/>
              </w:rPr>
            </w:pPr>
            <w:r w:rsidRPr="0081596A">
              <w:rPr>
                <w:rFonts w:ascii="Arial" w:eastAsia="Times New Roman" w:hAnsi="Arial" w:cs="Arial"/>
                <w:b/>
                <w:bCs/>
                <w:i/>
                <w:iCs/>
                <w:noProof/>
                <w:color w:val="000000"/>
                <w:sz w:val="18"/>
                <w:szCs w:val="18"/>
                <w:lang w:val="mn-MN"/>
              </w:rPr>
              <w:t>Зорилтот түвшин</w:t>
            </w:r>
          </w:p>
        </w:tc>
        <w:tc>
          <w:tcPr>
            <w:tcW w:w="3510" w:type="dxa"/>
            <w:vMerge w:val="restart"/>
            <w:tcBorders>
              <w:top w:val="single" w:sz="4" w:space="0" w:color="auto"/>
              <w:left w:val="nil"/>
              <w:right w:val="single" w:sz="4" w:space="0" w:color="auto"/>
            </w:tcBorders>
            <w:shd w:val="clear" w:color="000000" w:fill="F2F2F2"/>
            <w:vAlign w:val="center"/>
            <w:hideMark/>
          </w:tcPr>
          <w:p w14:paraId="4FDDBA89" w14:textId="77777777" w:rsidR="00500B3D" w:rsidRPr="0081596A" w:rsidRDefault="00500B3D" w:rsidP="0081596A">
            <w:pPr>
              <w:spacing w:after="0" w:line="240" w:lineRule="auto"/>
              <w:jc w:val="center"/>
              <w:rPr>
                <w:rFonts w:ascii="Arial" w:eastAsia="Times New Roman" w:hAnsi="Arial" w:cs="Arial"/>
                <w:b/>
                <w:bCs/>
                <w:i/>
                <w:iCs/>
                <w:noProof/>
                <w:color w:val="000000"/>
                <w:sz w:val="18"/>
                <w:szCs w:val="18"/>
                <w:lang w:val="mn-MN"/>
              </w:rPr>
            </w:pPr>
            <w:r w:rsidRPr="0081596A">
              <w:rPr>
                <w:rFonts w:ascii="Arial" w:eastAsia="Times New Roman" w:hAnsi="Arial" w:cs="Arial"/>
                <w:b/>
                <w:bCs/>
                <w:i/>
                <w:iCs/>
                <w:noProof/>
                <w:color w:val="000000"/>
                <w:sz w:val="18"/>
                <w:szCs w:val="18"/>
                <w:lang w:val="mn-MN"/>
              </w:rPr>
              <w:t>Хэрэгжилт</w:t>
            </w:r>
          </w:p>
          <w:p w14:paraId="25BC0F46" w14:textId="0849EAB2" w:rsidR="00500B3D" w:rsidRPr="0081596A" w:rsidRDefault="00500B3D" w:rsidP="0081596A">
            <w:pPr>
              <w:spacing w:after="0" w:line="240" w:lineRule="auto"/>
              <w:jc w:val="center"/>
              <w:rPr>
                <w:rFonts w:ascii="Arial" w:eastAsia="Times New Roman" w:hAnsi="Arial" w:cs="Arial"/>
                <w:b/>
                <w:bCs/>
                <w:i/>
                <w:iCs/>
                <w:noProof/>
                <w:color w:val="000000"/>
                <w:sz w:val="18"/>
                <w:szCs w:val="18"/>
                <w:lang w:val="mn-MN"/>
              </w:rPr>
            </w:pPr>
            <w:r w:rsidRPr="0081596A">
              <w:rPr>
                <w:rFonts w:ascii="Arial" w:eastAsia="Times New Roman" w:hAnsi="Arial" w:cs="Arial"/>
                <w:b/>
                <w:bCs/>
                <w:noProof/>
                <w:color w:val="000000"/>
                <w:sz w:val="18"/>
                <w:szCs w:val="18"/>
                <w:lang w:val="mn-MN"/>
              </w:rPr>
              <w:t> </w:t>
            </w:r>
          </w:p>
        </w:tc>
        <w:tc>
          <w:tcPr>
            <w:tcW w:w="1246" w:type="dxa"/>
            <w:vMerge w:val="restart"/>
            <w:tcBorders>
              <w:top w:val="single" w:sz="4" w:space="0" w:color="auto"/>
              <w:left w:val="nil"/>
              <w:right w:val="single" w:sz="4" w:space="0" w:color="auto"/>
            </w:tcBorders>
            <w:shd w:val="clear" w:color="000000" w:fill="F2F2F2"/>
            <w:vAlign w:val="center"/>
            <w:hideMark/>
          </w:tcPr>
          <w:p w14:paraId="52C69EF6" w14:textId="77777777" w:rsidR="00500B3D" w:rsidRPr="0081596A" w:rsidRDefault="00500B3D" w:rsidP="0081596A">
            <w:pPr>
              <w:spacing w:after="0" w:line="240" w:lineRule="auto"/>
              <w:jc w:val="center"/>
              <w:rPr>
                <w:rFonts w:ascii="Arial" w:eastAsia="Times New Roman" w:hAnsi="Arial" w:cs="Arial"/>
                <w:b/>
                <w:bCs/>
                <w:i/>
                <w:iCs/>
                <w:noProof/>
                <w:color w:val="000000"/>
                <w:sz w:val="18"/>
                <w:szCs w:val="18"/>
                <w:lang w:val="mn-MN"/>
              </w:rPr>
            </w:pPr>
            <w:r w:rsidRPr="0081596A">
              <w:rPr>
                <w:rFonts w:ascii="Arial" w:eastAsia="Times New Roman" w:hAnsi="Arial" w:cs="Arial"/>
                <w:b/>
                <w:bCs/>
                <w:i/>
                <w:iCs/>
                <w:noProof/>
                <w:color w:val="000000"/>
                <w:sz w:val="18"/>
                <w:szCs w:val="18"/>
                <w:lang w:val="mn-MN"/>
              </w:rPr>
              <w:t>Хэрэгжилтийн хувь</w:t>
            </w:r>
          </w:p>
          <w:p w14:paraId="3AA2C121" w14:textId="28CD1E2F" w:rsidR="00500B3D" w:rsidRPr="0081596A" w:rsidRDefault="00500B3D" w:rsidP="0081596A">
            <w:pPr>
              <w:spacing w:after="0" w:line="240" w:lineRule="auto"/>
              <w:jc w:val="center"/>
              <w:rPr>
                <w:rFonts w:ascii="Arial" w:eastAsia="Times New Roman" w:hAnsi="Arial" w:cs="Arial"/>
                <w:b/>
                <w:bCs/>
                <w:i/>
                <w:iCs/>
                <w:noProof/>
                <w:color w:val="000000"/>
                <w:sz w:val="18"/>
                <w:szCs w:val="18"/>
                <w:lang w:val="mn-MN"/>
              </w:rPr>
            </w:pPr>
            <w:r w:rsidRPr="0081596A">
              <w:rPr>
                <w:rFonts w:ascii="Arial" w:eastAsia="Times New Roman" w:hAnsi="Arial" w:cs="Arial"/>
                <w:b/>
                <w:bCs/>
                <w:noProof/>
                <w:color w:val="000000"/>
                <w:sz w:val="18"/>
                <w:szCs w:val="18"/>
                <w:lang w:val="mn-MN"/>
              </w:rPr>
              <w:t> </w:t>
            </w:r>
          </w:p>
        </w:tc>
        <w:tc>
          <w:tcPr>
            <w:tcW w:w="1638" w:type="dxa"/>
            <w:gridSpan w:val="2"/>
            <w:vMerge w:val="restart"/>
            <w:tcBorders>
              <w:top w:val="single" w:sz="4" w:space="0" w:color="auto"/>
              <w:left w:val="nil"/>
              <w:right w:val="single" w:sz="4" w:space="0" w:color="auto"/>
            </w:tcBorders>
            <w:shd w:val="clear" w:color="000000" w:fill="F2F2F2"/>
            <w:vAlign w:val="center"/>
            <w:hideMark/>
          </w:tcPr>
          <w:p w14:paraId="10D7DA85" w14:textId="18E66945" w:rsidR="00500B3D" w:rsidRPr="0081596A" w:rsidRDefault="00500B3D" w:rsidP="00D06E8B">
            <w:pPr>
              <w:spacing w:after="0" w:line="240" w:lineRule="auto"/>
              <w:jc w:val="center"/>
              <w:rPr>
                <w:rFonts w:ascii="Arial" w:eastAsia="Times New Roman" w:hAnsi="Arial" w:cs="Arial"/>
                <w:b/>
                <w:bCs/>
                <w:i/>
                <w:iCs/>
                <w:noProof/>
                <w:color w:val="000000"/>
                <w:sz w:val="18"/>
                <w:szCs w:val="18"/>
                <w:lang w:val="mn-MN"/>
              </w:rPr>
            </w:pPr>
            <w:r w:rsidRPr="0081596A">
              <w:rPr>
                <w:rFonts w:ascii="Arial" w:eastAsia="Times New Roman" w:hAnsi="Arial" w:cs="Arial"/>
                <w:b/>
                <w:bCs/>
                <w:i/>
                <w:iCs/>
                <w:noProof/>
                <w:color w:val="000000"/>
                <w:sz w:val="18"/>
                <w:szCs w:val="18"/>
                <w:lang w:val="mn-MN"/>
              </w:rPr>
              <w:t>Тайлбар (хүрээгүй бол  шалтгаан, нөхцөл)</w:t>
            </w:r>
          </w:p>
        </w:tc>
      </w:tr>
      <w:tr w:rsidR="00500B3D" w:rsidRPr="0081596A" w14:paraId="13040FEC" w14:textId="77777777" w:rsidTr="004E6AEA">
        <w:trPr>
          <w:trHeight w:val="360"/>
        </w:trPr>
        <w:tc>
          <w:tcPr>
            <w:tcW w:w="526" w:type="dxa"/>
            <w:vMerge/>
            <w:tcBorders>
              <w:left w:val="single" w:sz="4" w:space="0" w:color="auto"/>
              <w:bottom w:val="single" w:sz="4" w:space="0" w:color="auto"/>
              <w:right w:val="single" w:sz="4" w:space="0" w:color="auto"/>
            </w:tcBorders>
          </w:tcPr>
          <w:p w14:paraId="167FE536" w14:textId="77777777" w:rsidR="00500B3D" w:rsidRPr="0081596A" w:rsidRDefault="00500B3D" w:rsidP="0081596A">
            <w:pPr>
              <w:spacing w:after="0" w:line="240" w:lineRule="auto"/>
              <w:rPr>
                <w:rFonts w:ascii="Arial" w:eastAsia="Times New Roman" w:hAnsi="Arial" w:cs="Arial"/>
                <w:b/>
                <w:bCs/>
                <w:noProof/>
                <w:color w:val="000000"/>
                <w:sz w:val="18"/>
                <w:szCs w:val="18"/>
                <w:lang w:val="mn-M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9E1DE37" w14:textId="5DE432DB" w:rsidR="00500B3D" w:rsidRPr="0081596A" w:rsidRDefault="00500B3D" w:rsidP="0081596A">
            <w:pPr>
              <w:spacing w:after="0" w:line="240" w:lineRule="auto"/>
              <w:rPr>
                <w:rFonts w:ascii="Arial" w:eastAsia="Times New Roman" w:hAnsi="Arial" w:cs="Arial"/>
                <w:b/>
                <w:bCs/>
                <w:noProof/>
                <w:color w:val="000000"/>
                <w:sz w:val="18"/>
                <w:szCs w:val="18"/>
                <w:lang w:val="mn-MN"/>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14:paraId="39169103" w14:textId="77777777" w:rsidR="00500B3D" w:rsidRPr="0081596A" w:rsidRDefault="00500B3D" w:rsidP="0081596A">
            <w:pPr>
              <w:spacing w:after="0" w:line="240" w:lineRule="auto"/>
              <w:rPr>
                <w:rFonts w:ascii="Arial" w:eastAsia="Times New Roman" w:hAnsi="Arial" w:cs="Arial"/>
                <w:b/>
                <w:bCs/>
                <w:noProof/>
                <w:color w:val="000000"/>
                <w:sz w:val="18"/>
                <w:szCs w:val="18"/>
                <w:lang w:val="mn-MN"/>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14:paraId="31C6004D" w14:textId="77777777" w:rsidR="00500B3D" w:rsidRPr="0081596A" w:rsidRDefault="00500B3D" w:rsidP="0081596A">
            <w:pPr>
              <w:spacing w:after="0" w:line="240" w:lineRule="auto"/>
              <w:rPr>
                <w:rFonts w:ascii="Arial" w:eastAsia="Times New Roman" w:hAnsi="Arial" w:cs="Arial"/>
                <w:b/>
                <w:bCs/>
                <w:noProof/>
                <w:color w:val="000000"/>
                <w:sz w:val="18"/>
                <w:szCs w:val="18"/>
                <w:lang w:val="mn-MN"/>
              </w:rPr>
            </w:pPr>
          </w:p>
        </w:tc>
        <w:tc>
          <w:tcPr>
            <w:tcW w:w="643" w:type="dxa"/>
            <w:tcBorders>
              <w:top w:val="nil"/>
              <w:left w:val="nil"/>
              <w:bottom w:val="single" w:sz="4" w:space="0" w:color="auto"/>
              <w:right w:val="single" w:sz="4" w:space="0" w:color="auto"/>
            </w:tcBorders>
            <w:shd w:val="clear" w:color="000000" w:fill="F2F2F2"/>
            <w:vAlign w:val="center"/>
            <w:hideMark/>
          </w:tcPr>
          <w:p w14:paraId="14064625" w14:textId="77777777" w:rsidR="00500B3D" w:rsidRPr="0081596A" w:rsidRDefault="00500B3D" w:rsidP="0081596A">
            <w:pPr>
              <w:spacing w:after="0" w:line="240" w:lineRule="auto"/>
              <w:jc w:val="center"/>
              <w:rPr>
                <w:rFonts w:ascii="Arial" w:eastAsia="Times New Roman" w:hAnsi="Arial" w:cs="Arial"/>
                <w:b/>
                <w:bCs/>
                <w:noProof/>
                <w:color w:val="000000"/>
                <w:sz w:val="18"/>
                <w:szCs w:val="18"/>
                <w:lang w:val="mn-MN"/>
              </w:rPr>
            </w:pPr>
            <w:r w:rsidRPr="0081596A">
              <w:rPr>
                <w:rFonts w:ascii="Arial" w:eastAsia="Times New Roman" w:hAnsi="Arial" w:cs="Arial"/>
                <w:b/>
                <w:bCs/>
                <w:noProof/>
                <w:color w:val="000000"/>
                <w:sz w:val="18"/>
                <w:szCs w:val="18"/>
                <w:lang w:val="mn-MN"/>
              </w:rPr>
              <w:t>Он</w:t>
            </w:r>
          </w:p>
        </w:tc>
        <w:tc>
          <w:tcPr>
            <w:tcW w:w="1143" w:type="dxa"/>
            <w:tcBorders>
              <w:top w:val="nil"/>
              <w:left w:val="nil"/>
              <w:bottom w:val="single" w:sz="4" w:space="0" w:color="auto"/>
              <w:right w:val="single" w:sz="4" w:space="0" w:color="auto"/>
            </w:tcBorders>
            <w:shd w:val="clear" w:color="000000" w:fill="F2F2F2"/>
            <w:vAlign w:val="center"/>
            <w:hideMark/>
          </w:tcPr>
          <w:p w14:paraId="4FBDA772" w14:textId="77777777" w:rsidR="00500B3D" w:rsidRPr="0081596A" w:rsidRDefault="00500B3D" w:rsidP="0081596A">
            <w:pPr>
              <w:spacing w:after="0" w:line="240" w:lineRule="auto"/>
              <w:jc w:val="center"/>
              <w:rPr>
                <w:rFonts w:ascii="Arial" w:eastAsia="Times New Roman" w:hAnsi="Arial" w:cs="Arial"/>
                <w:b/>
                <w:bCs/>
                <w:noProof/>
                <w:color w:val="000000"/>
                <w:sz w:val="18"/>
                <w:szCs w:val="18"/>
                <w:lang w:val="mn-MN"/>
              </w:rPr>
            </w:pPr>
            <w:r w:rsidRPr="0081596A">
              <w:rPr>
                <w:rFonts w:ascii="Arial" w:eastAsia="Times New Roman" w:hAnsi="Arial" w:cs="Arial"/>
                <w:b/>
                <w:bCs/>
                <w:noProof/>
                <w:color w:val="000000"/>
                <w:sz w:val="18"/>
                <w:szCs w:val="18"/>
                <w:lang w:val="mn-MN"/>
              </w:rPr>
              <w:t>Түвшин</w:t>
            </w:r>
          </w:p>
        </w:tc>
        <w:tc>
          <w:tcPr>
            <w:tcW w:w="642" w:type="dxa"/>
            <w:tcBorders>
              <w:top w:val="nil"/>
              <w:left w:val="nil"/>
              <w:bottom w:val="single" w:sz="4" w:space="0" w:color="auto"/>
              <w:right w:val="single" w:sz="4" w:space="0" w:color="auto"/>
            </w:tcBorders>
            <w:shd w:val="clear" w:color="000000" w:fill="F2F2F2"/>
            <w:vAlign w:val="center"/>
            <w:hideMark/>
          </w:tcPr>
          <w:p w14:paraId="39CDAE7C" w14:textId="77777777" w:rsidR="00500B3D" w:rsidRPr="0081596A" w:rsidRDefault="00500B3D" w:rsidP="0081596A">
            <w:pPr>
              <w:spacing w:after="0" w:line="240" w:lineRule="auto"/>
              <w:jc w:val="center"/>
              <w:rPr>
                <w:rFonts w:ascii="Arial" w:eastAsia="Times New Roman" w:hAnsi="Arial" w:cs="Arial"/>
                <w:b/>
                <w:bCs/>
                <w:noProof/>
                <w:color w:val="000000"/>
                <w:sz w:val="18"/>
                <w:szCs w:val="18"/>
                <w:lang w:val="mn-MN"/>
              </w:rPr>
            </w:pPr>
            <w:r w:rsidRPr="0081596A">
              <w:rPr>
                <w:rFonts w:ascii="Arial" w:eastAsia="Times New Roman" w:hAnsi="Arial" w:cs="Arial"/>
                <w:b/>
                <w:bCs/>
                <w:noProof/>
                <w:color w:val="000000"/>
                <w:sz w:val="18"/>
                <w:szCs w:val="18"/>
                <w:lang w:val="mn-MN"/>
              </w:rPr>
              <w:t>Он</w:t>
            </w:r>
          </w:p>
        </w:tc>
        <w:tc>
          <w:tcPr>
            <w:tcW w:w="1516" w:type="dxa"/>
            <w:tcBorders>
              <w:top w:val="nil"/>
              <w:left w:val="nil"/>
              <w:bottom w:val="single" w:sz="4" w:space="0" w:color="auto"/>
              <w:right w:val="single" w:sz="4" w:space="0" w:color="auto"/>
            </w:tcBorders>
            <w:shd w:val="clear" w:color="000000" w:fill="F2F2F2"/>
            <w:vAlign w:val="center"/>
            <w:hideMark/>
          </w:tcPr>
          <w:p w14:paraId="22AB9E5F" w14:textId="77777777" w:rsidR="00500B3D" w:rsidRPr="0081596A" w:rsidRDefault="00500B3D" w:rsidP="0081596A">
            <w:pPr>
              <w:spacing w:after="0" w:line="240" w:lineRule="auto"/>
              <w:jc w:val="center"/>
              <w:rPr>
                <w:rFonts w:ascii="Arial" w:eastAsia="Times New Roman" w:hAnsi="Arial" w:cs="Arial"/>
                <w:b/>
                <w:bCs/>
                <w:noProof/>
                <w:color w:val="000000"/>
                <w:sz w:val="18"/>
                <w:szCs w:val="18"/>
                <w:lang w:val="mn-MN"/>
              </w:rPr>
            </w:pPr>
            <w:r w:rsidRPr="0081596A">
              <w:rPr>
                <w:rFonts w:ascii="Arial" w:eastAsia="Times New Roman" w:hAnsi="Arial" w:cs="Arial"/>
                <w:b/>
                <w:bCs/>
                <w:noProof/>
                <w:color w:val="000000"/>
                <w:sz w:val="18"/>
                <w:szCs w:val="18"/>
                <w:lang w:val="mn-MN"/>
              </w:rPr>
              <w:t>Түвшин</w:t>
            </w:r>
          </w:p>
        </w:tc>
        <w:tc>
          <w:tcPr>
            <w:tcW w:w="3510" w:type="dxa"/>
            <w:vMerge/>
            <w:tcBorders>
              <w:left w:val="nil"/>
              <w:bottom w:val="single" w:sz="4" w:space="0" w:color="auto"/>
              <w:right w:val="single" w:sz="4" w:space="0" w:color="auto"/>
            </w:tcBorders>
            <w:shd w:val="clear" w:color="000000" w:fill="F2F2F2"/>
            <w:vAlign w:val="center"/>
            <w:hideMark/>
          </w:tcPr>
          <w:p w14:paraId="2CE75564" w14:textId="30AF4B05" w:rsidR="00500B3D" w:rsidRPr="0081596A" w:rsidRDefault="00500B3D" w:rsidP="0081596A">
            <w:pPr>
              <w:spacing w:after="0" w:line="240" w:lineRule="auto"/>
              <w:jc w:val="center"/>
              <w:rPr>
                <w:rFonts w:ascii="Arial" w:eastAsia="Times New Roman" w:hAnsi="Arial" w:cs="Arial"/>
                <w:b/>
                <w:bCs/>
                <w:noProof/>
                <w:color w:val="000000"/>
                <w:sz w:val="18"/>
                <w:szCs w:val="18"/>
                <w:lang w:val="mn-MN"/>
              </w:rPr>
            </w:pPr>
          </w:p>
        </w:tc>
        <w:tc>
          <w:tcPr>
            <w:tcW w:w="1246" w:type="dxa"/>
            <w:vMerge/>
            <w:tcBorders>
              <w:left w:val="nil"/>
              <w:bottom w:val="single" w:sz="4" w:space="0" w:color="auto"/>
              <w:right w:val="single" w:sz="4" w:space="0" w:color="auto"/>
            </w:tcBorders>
            <w:shd w:val="clear" w:color="000000" w:fill="F2F2F2"/>
            <w:vAlign w:val="center"/>
            <w:hideMark/>
          </w:tcPr>
          <w:p w14:paraId="41C39D9E" w14:textId="43313B8E" w:rsidR="00500B3D" w:rsidRPr="0081596A" w:rsidRDefault="00500B3D" w:rsidP="0081596A">
            <w:pPr>
              <w:spacing w:after="0" w:line="240" w:lineRule="auto"/>
              <w:jc w:val="center"/>
              <w:rPr>
                <w:rFonts w:ascii="Arial" w:eastAsia="Times New Roman" w:hAnsi="Arial" w:cs="Arial"/>
                <w:b/>
                <w:bCs/>
                <w:noProof/>
                <w:color w:val="000000"/>
                <w:sz w:val="18"/>
                <w:szCs w:val="18"/>
                <w:lang w:val="mn-MN"/>
              </w:rPr>
            </w:pPr>
          </w:p>
        </w:tc>
        <w:tc>
          <w:tcPr>
            <w:tcW w:w="1638" w:type="dxa"/>
            <w:gridSpan w:val="2"/>
            <w:vMerge/>
            <w:tcBorders>
              <w:left w:val="nil"/>
              <w:bottom w:val="single" w:sz="4" w:space="0" w:color="auto"/>
              <w:right w:val="single" w:sz="4" w:space="0" w:color="auto"/>
            </w:tcBorders>
            <w:shd w:val="clear" w:color="000000" w:fill="F2F2F2"/>
            <w:vAlign w:val="center"/>
            <w:hideMark/>
          </w:tcPr>
          <w:p w14:paraId="08828A66" w14:textId="6612B5C0" w:rsidR="00500B3D" w:rsidRPr="0081596A" w:rsidRDefault="00500B3D" w:rsidP="0081596A">
            <w:pPr>
              <w:spacing w:after="0" w:line="240" w:lineRule="auto"/>
              <w:jc w:val="center"/>
              <w:rPr>
                <w:rFonts w:ascii="Arial" w:eastAsia="Times New Roman" w:hAnsi="Arial" w:cs="Arial"/>
                <w:b/>
                <w:bCs/>
                <w:noProof/>
                <w:color w:val="000000"/>
                <w:sz w:val="18"/>
                <w:szCs w:val="18"/>
                <w:lang w:val="mn-MN"/>
              </w:rPr>
            </w:pPr>
          </w:p>
        </w:tc>
      </w:tr>
      <w:tr w:rsidR="004E6AEA" w:rsidRPr="0081596A" w14:paraId="79392423" w14:textId="77777777" w:rsidTr="004E6AEA">
        <w:trPr>
          <w:trHeight w:val="2460"/>
        </w:trPr>
        <w:tc>
          <w:tcPr>
            <w:tcW w:w="526" w:type="dxa"/>
            <w:tcBorders>
              <w:top w:val="nil"/>
              <w:left w:val="single" w:sz="4" w:space="0" w:color="auto"/>
              <w:bottom w:val="single" w:sz="4" w:space="0" w:color="000000"/>
              <w:right w:val="single" w:sz="4" w:space="0" w:color="auto"/>
            </w:tcBorders>
            <w:vAlign w:val="center"/>
          </w:tcPr>
          <w:p w14:paraId="79E2AEE3" w14:textId="185D58D8" w:rsidR="00366B9D" w:rsidRPr="0081596A" w:rsidRDefault="00366B9D" w:rsidP="00366B9D">
            <w:pPr>
              <w:spacing w:after="0" w:line="240" w:lineRule="auto"/>
              <w:jc w:val="center"/>
              <w:rPr>
                <w:rFonts w:ascii="Arial" w:eastAsia="Times New Roman" w:hAnsi="Arial" w:cs="Arial"/>
                <w:noProof/>
                <w:color w:val="000000"/>
                <w:sz w:val="18"/>
                <w:szCs w:val="18"/>
                <w:lang w:val="mn-MN"/>
              </w:rPr>
            </w:pPr>
            <w:r>
              <w:rPr>
                <w:rFonts w:ascii="Arial" w:eastAsia="Times New Roman" w:hAnsi="Arial" w:cs="Arial"/>
                <w:noProof/>
                <w:color w:val="000000"/>
                <w:sz w:val="18"/>
                <w:szCs w:val="18"/>
                <w:lang w:val="mn-MN"/>
              </w:rPr>
              <w:t>1</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1DE3924D" w14:textId="43890070"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4.2.10. Зарим их, дээд сургуулийг мэргэжлийн чиглэл, салбараар нь төрөлжүүлж, дагуул хотууд болон орон нутагт хотхон байгуулан шилжүүлэх замаар хотын төвлөрлийг сааруулах</w:t>
            </w:r>
          </w:p>
        </w:tc>
        <w:tc>
          <w:tcPr>
            <w:tcW w:w="755" w:type="dxa"/>
            <w:vMerge w:val="restart"/>
            <w:tcBorders>
              <w:top w:val="nil"/>
              <w:left w:val="single" w:sz="4" w:space="0" w:color="auto"/>
              <w:bottom w:val="single" w:sz="4" w:space="0" w:color="000000"/>
              <w:right w:val="single" w:sz="4" w:space="0" w:color="auto"/>
            </w:tcBorders>
            <w:shd w:val="clear" w:color="auto" w:fill="auto"/>
            <w:vAlign w:val="center"/>
            <w:hideMark/>
          </w:tcPr>
          <w:p w14:paraId="3E7044FA" w14:textId="77777777"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w:t>
            </w:r>
          </w:p>
        </w:tc>
        <w:tc>
          <w:tcPr>
            <w:tcW w:w="1449" w:type="dxa"/>
            <w:vMerge w:val="restart"/>
            <w:tcBorders>
              <w:top w:val="nil"/>
              <w:left w:val="single" w:sz="4" w:space="0" w:color="auto"/>
              <w:bottom w:val="single" w:sz="4" w:space="0" w:color="000000"/>
              <w:right w:val="single" w:sz="4" w:space="0" w:color="auto"/>
            </w:tcBorders>
            <w:shd w:val="clear" w:color="auto" w:fill="auto"/>
            <w:vAlign w:val="center"/>
            <w:hideMark/>
          </w:tcPr>
          <w:p w14:paraId="7412FCB7" w14:textId="77777777"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 xml:space="preserve">Зарим их, дээд сургуулийг дагуул хотууд болон орон нутагт шилжүүлсэн байна.  </w:t>
            </w:r>
          </w:p>
        </w:tc>
        <w:tc>
          <w:tcPr>
            <w:tcW w:w="643" w:type="dxa"/>
            <w:tcBorders>
              <w:top w:val="nil"/>
              <w:left w:val="nil"/>
              <w:bottom w:val="single" w:sz="4" w:space="0" w:color="auto"/>
              <w:right w:val="single" w:sz="4" w:space="0" w:color="auto"/>
            </w:tcBorders>
            <w:shd w:val="clear" w:color="auto" w:fill="auto"/>
            <w:vAlign w:val="center"/>
            <w:hideMark/>
          </w:tcPr>
          <w:p w14:paraId="1775E6C7" w14:textId="77777777"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2022</w:t>
            </w:r>
          </w:p>
        </w:tc>
        <w:tc>
          <w:tcPr>
            <w:tcW w:w="1143" w:type="dxa"/>
            <w:tcBorders>
              <w:top w:val="nil"/>
              <w:left w:val="nil"/>
              <w:bottom w:val="single" w:sz="4" w:space="0" w:color="auto"/>
              <w:right w:val="single" w:sz="4" w:space="0" w:color="auto"/>
            </w:tcBorders>
            <w:shd w:val="clear" w:color="auto" w:fill="auto"/>
            <w:vAlign w:val="center"/>
            <w:hideMark/>
          </w:tcPr>
          <w:p w14:paraId="21232228" w14:textId="77777777"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Суурь судалгаа</w:t>
            </w:r>
          </w:p>
        </w:tc>
        <w:tc>
          <w:tcPr>
            <w:tcW w:w="642" w:type="dxa"/>
            <w:tcBorders>
              <w:top w:val="nil"/>
              <w:left w:val="nil"/>
              <w:bottom w:val="single" w:sz="4" w:space="0" w:color="auto"/>
              <w:right w:val="single" w:sz="4" w:space="0" w:color="auto"/>
            </w:tcBorders>
            <w:shd w:val="clear" w:color="auto" w:fill="auto"/>
            <w:vAlign w:val="center"/>
            <w:hideMark/>
          </w:tcPr>
          <w:p w14:paraId="5BE22568" w14:textId="77777777"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2022</w:t>
            </w:r>
          </w:p>
        </w:tc>
        <w:tc>
          <w:tcPr>
            <w:tcW w:w="1516" w:type="dxa"/>
            <w:tcBorders>
              <w:top w:val="nil"/>
              <w:left w:val="nil"/>
              <w:bottom w:val="single" w:sz="4" w:space="0" w:color="auto"/>
              <w:right w:val="single" w:sz="4" w:space="0" w:color="auto"/>
            </w:tcBorders>
            <w:shd w:val="clear" w:color="auto" w:fill="auto"/>
            <w:vAlign w:val="center"/>
            <w:hideMark/>
          </w:tcPr>
          <w:p w14:paraId="0DC1EE8F" w14:textId="77777777"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Хөрөнгө оруулагчтай гэрээ хийх, Цогцолборын ТЭЗҮ, Ерөнхий төлөвлөгөөг боловсруулах батлах</w:t>
            </w:r>
          </w:p>
        </w:tc>
        <w:tc>
          <w:tcPr>
            <w:tcW w:w="3510" w:type="dxa"/>
            <w:tcBorders>
              <w:top w:val="nil"/>
              <w:left w:val="nil"/>
              <w:bottom w:val="single" w:sz="4" w:space="0" w:color="auto"/>
              <w:right w:val="single" w:sz="4" w:space="0" w:color="auto"/>
            </w:tcBorders>
            <w:shd w:val="clear" w:color="auto" w:fill="auto"/>
            <w:vAlign w:val="bottom"/>
            <w:hideMark/>
          </w:tcPr>
          <w:p w14:paraId="63E9AD61" w14:textId="77777777"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 xml:space="preserve">1. Орхон аймаг дахь технологийн сургуулийг инженер, технологийн чиглэлээр, “Сургалт-эрдэм шинжилгээ-үйлдвэрлэлийн цогцолбор” болгон хөгжүүлэх хүрээнд: </w:t>
            </w:r>
            <w:r w:rsidRPr="0081596A">
              <w:rPr>
                <w:rFonts w:ascii="Arial" w:eastAsia="Times New Roman" w:hAnsi="Arial" w:cs="Arial"/>
                <w:noProof/>
                <w:color w:val="000000"/>
                <w:sz w:val="18"/>
                <w:szCs w:val="18"/>
                <w:lang w:val="mn-MN"/>
              </w:rPr>
              <w:br/>
              <w:t>“Сургалт-эрдэм шинжилгээ-үйлдвэрлэлийн цогцолбор”-ыг байгуулах 50 га газарт ерөнхий төлөвлөгөөний урьдчилсан загвар, ерөнхий ажлын төлөвлөгөө, урьдчилсан тооцоо, томсгосон төсвийг хийж гүйцэтгэсэн.</w:t>
            </w:r>
            <w:r w:rsidRPr="0081596A">
              <w:rPr>
                <w:rFonts w:ascii="Arial" w:eastAsia="Times New Roman" w:hAnsi="Arial" w:cs="Arial"/>
                <w:noProof/>
                <w:color w:val="000000"/>
                <w:sz w:val="18"/>
                <w:szCs w:val="18"/>
                <w:lang w:val="mn-MN"/>
              </w:rPr>
              <w:br/>
              <w:t xml:space="preserve"> “Сургалт-эрдэм шинжилгээ-үйлдвэрлэлийн цогцолбор”-оор төрөлжүүлэн хөгжүүлэхтэй уялдуулан богино, дунд, урт хугацааны төлөвлөлт хийх, хүний нөөцийг чадавхижуулах, мэргэжилтэн бэлтгэх олон улсын болон дотоодын дэвшилтэт технологийн нутагшуулах, “Сургалт-эрдэм шинжилгээ-үйлдвэрлэл”-ийн уялдаа холбоог хангах, шаардлагатай хөрөнгө оруулалт, санхүүгийн дэмжлэг үзүүлэхэд чиглэсэн хамтын ажиллагааны ойлголцлын санамж бичгийг Боловсрол, шинжлэх ухааны сайд Л.Энх-Амгалан,  “Эрдэнэт үйлдвэр” ТӨҮГ-ын ерөнхий захиралтай байгуулан ажиллаж байна.                                                                                                                                                       </w:t>
            </w:r>
          </w:p>
        </w:tc>
        <w:tc>
          <w:tcPr>
            <w:tcW w:w="1246" w:type="dxa"/>
            <w:tcBorders>
              <w:top w:val="nil"/>
              <w:left w:val="nil"/>
              <w:bottom w:val="single" w:sz="4" w:space="0" w:color="auto"/>
              <w:right w:val="single" w:sz="4" w:space="0" w:color="auto"/>
            </w:tcBorders>
            <w:shd w:val="clear" w:color="auto" w:fill="auto"/>
            <w:vAlign w:val="center"/>
            <w:hideMark/>
          </w:tcPr>
          <w:p w14:paraId="16AD3C61" w14:textId="13FE8712" w:rsidR="00366B9D" w:rsidRPr="0081596A" w:rsidRDefault="00366B9D" w:rsidP="00174818">
            <w:pPr>
              <w:spacing w:after="0" w:line="240" w:lineRule="auto"/>
              <w:jc w:val="center"/>
              <w:rPr>
                <w:rFonts w:ascii="Arial" w:eastAsia="Times New Roman" w:hAnsi="Arial" w:cs="Arial"/>
                <w:noProof/>
                <w:color w:val="000000"/>
                <w:sz w:val="18"/>
                <w:szCs w:val="18"/>
                <w:lang w:val="mn-MN"/>
              </w:rPr>
            </w:pPr>
            <w:r>
              <w:rPr>
                <w:rFonts w:ascii="Arial" w:eastAsia="Times New Roman" w:hAnsi="Arial" w:cs="Arial"/>
                <w:noProof/>
                <w:color w:val="000000"/>
                <w:sz w:val="18"/>
                <w:szCs w:val="18"/>
                <w:lang w:val="mn-MN"/>
              </w:rPr>
              <w:t>7</w:t>
            </w:r>
            <w:r w:rsidRPr="0081596A">
              <w:rPr>
                <w:rFonts w:ascii="Arial" w:eastAsia="Times New Roman" w:hAnsi="Arial" w:cs="Arial"/>
                <w:noProof/>
                <w:color w:val="000000"/>
                <w:sz w:val="18"/>
                <w:szCs w:val="18"/>
                <w:lang w:val="mn-MN"/>
              </w:rPr>
              <w:t>0</w:t>
            </w:r>
            <w:r>
              <w:rPr>
                <w:rFonts w:ascii="Arial" w:eastAsia="Times New Roman" w:hAnsi="Arial" w:cs="Arial"/>
                <w:noProof/>
                <w:color w:val="000000"/>
                <w:sz w:val="18"/>
                <w:szCs w:val="18"/>
                <w:lang w:val="mn-MN"/>
              </w:rPr>
              <w:t>,0%</w:t>
            </w:r>
          </w:p>
        </w:tc>
        <w:tc>
          <w:tcPr>
            <w:tcW w:w="1638" w:type="dxa"/>
            <w:gridSpan w:val="2"/>
            <w:tcBorders>
              <w:top w:val="nil"/>
              <w:left w:val="nil"/>
              <w:bottom w:val="single" w:sz="4" w:space="0" w:color="auto"/>
              <w:right w:val="single" w:sz="4" w:space="0" w:color="auto"/>
            </w:tcBorders>
            <w:shd w:val="clear" w:color="auto" w:fill="auto"/>
            <w:vAlign w:val="center"/>
            <w:hideMark/>
          </w:tcPr>
          <w:p w14:paraId="0EF21C6C" w14:textId="77777777"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Хөрөнгө оруулагч талтай зөвшилцөж байгаа боловч хөрөнгө оруулалтын хэмжээг тохироогүй байна.</w:t>
            </w:r>
          </w:p>
        </w:tc>
      </w:tr>
      <w:tr w:rsidR="004E6AEA" w:rsidRPr="0081596A" w14:paraId="2DFA6E78" w14:textId="77777777" w:rsidTr="004E6AEA">
        <w:trPr>
          <w:trHeight w:val="2805"/>
        </w:trPr>
        <w:tc>
          <w:tcPr>
            <w:tcW w:w="526" w:type="dxa"/>
            <w:tcBorders>
              <w:top w:val="nil"/>
              <w:left w:val="single" w:sz="4" w:space="0" w:color="auto"/>
              <w:bottom w:val="single" w:sz="4" w:space="0" w:color="000000"/>
              <w:right w:val="single" w:sz="4" w:space="0" w:color="auto"/>
            </w:tcBorders>
          </w:tcPr>
          <w:p w14:paraId="53DF13E7" w14:textId="77777777" w:rsidR="00366B9D" w:rsidRPr="0081596A" w:rsidRDefault="00366B9D" w:rsidP="0081596A">
            <w:pPr>
              <w:spacing w:after="0" w:line="240" w:lineRule="auto"/>
              <w:rPr>
                <w:rFonts w:ascii="Arial" w:eastAsia="Times New Roman" w:hAnsi="Arial" w:cs="Arial"/>
                <w:noProof/>
                <w:color w:val="000000"/>
                <w:sz w:val="18"/>
                <w:szCs w:val="18"/>
                <w:lang w:val="mn-MN"/>
              </w:rPr>
            </w:pPr>
          </w:p>
        </w:tc>
        <w:tc>
          <w:tcPr>
            <w:tcW w:w="1440" w:type="dxa"/>
            <w:vMerge/>
            <w:tcBorders>
              <w:top w:val="nil"/>
              <w:left w:val="single" w:sz="4" w:space="0" w:color="auto"/>
              <w:bottom w:val="single" w:sz="4" w:space="0" w:color="000000"/>
              <w:right w:val="single" w:sz="4" w:space="0" w:color="auto"/>
            </w:tcBorders>
            <w:vAlign w:val="center"/>
            <w:hideMark/>
          </w:tcPr>
          <w:p w14:paraId="202C48CE" w14:textId="085C3161" w:rsidR="00366B9D" w:rsidRPr="0081596A" w:rsidRDefault="00366B9D" w:rsidP="0081596A">
            <w:pPr>
              <w:spacing w:after="0" w:line="240" w:lineRule="auto"/>
              <w:rPr>
                <w:rFonts w:ascii="Arial" w:eastAsia="Times New Roman" w:hAnsi="Arial" w:cs="Arial"/>
                <w:noProof/>
                <w:color w:val="000000"/>
                <w:sz w:val="18"/>
                <w:szCs w:val="18"/>
                <w:lang w:val="mn-MN"/>
              </w:rPr>
            </w:pPr>
          </w:p>
        </w:tc>
        <w:tc>
          <w:tcPr>
            <w:tcW w:w="755" w:type="dxa"/>
            <w:vMerge/>
            <w:tcBorders>
              <w:top w:val="nil"/>
              <w:left w:val="single" w:sz="4" w:space="0" w:color="auto"/>
              <w:bottom w:val="single" w:sz="4" w:space="0" w:color="000000"/>
              <w:right w:val="single" w:sz="4" w:space="0" w:color="auto"/>
            </w:tcBorders>
            <w:vAlign w:val="center"/>
            <w:hideMark/>
          </w:tcPr>
          <w:p w14:paraId="5DF1C480" w14:textId="77777777" w:rsidR="00366B9D" w:rsidRPr="0081596A" w:rsidRDefault="00366B9D" w:rsidP="0081596A">
            <w:pPr>
              <w:spacing w:after="0" w:line="240" w:lineRule="auto"/>
              <w:rPr>
                <w:rFonts w:ascii="Arial" w:eastAsia="Times New Roman" w:hAnsi="Arial" w:cs="Arial"/>
                <w:noProof/>
                <w:color w:val="000000"/>
                <w:sz w:val="18"/>
                <w:szCs w:val="18"/>
                <w:lang w:val="mn-MN"/>
              </w:rPr>
            </w:pPr>
          </w:p>
        </w:tc>
        <w:tc>
          <w:tcPr>
            <w:tcW w:w="1449" w:type="dxa"/>
            <w:vMerge/>
            <w:tcBorders>
              <w:top w:val="nil"/>
              <w:left w:val="single" w:sz="4" w:space="0" w:color="auto"/>
              <w:bottom w:val="single" w:sz="4" w:space="0" w:color="000000"/>
              <w:right w:val="single" w:sz="4" w:space="0" w:color="auto"/>
            </w:tcBorders>
            <w:vAlign w:val="center"/>
            <w:hideMark/>
          </w:tcPr>
          <w:p w14:paraId="1F0C4F26" w14:textId="77777777" w:rsidR="00366B9D" w:rsidRPr="0081596A" w:rsidRDefault="00366B9D" w:rsidP="0081596A">
            <w:pPr>
              <w:spacing w:after="0" w:line="240" w:lineRule="auto"/>
              <w:rPr>
                <w:rFonts w:ascii="Arial" w:eastAsia="Times New Roman" w:hAnsi="Arial" w:cs="Arial"/>
                <w:noProof/>
                <w:color w:val="000000"/>
                <w:sz w:val="18"/>
                <w:szCs w:val="18"/>
                <w:lang w:val="mn-MN"/>
              </w:rPr>
            </w:pPr>
          </w:p>
        </w:tc>
        <w:tc>
          <w:tcPr>
            <w:tcW w:w="643" w:type="dxa"/>
            <w:tcBorders>
              <w:top w:val="nil"/>
              <w:left w:val="nil"/>
              <w:bottom w:val="single" w:sz="4" w:space="0" w:color="auto"/>
              <w:right w:val="single" w:sz="4" w:space="0" w:color="auto"/>
            </w:tcBorders>
            <w:shd w:val="clear" w:color="auto" w:fill="auto"/>
            <w:vAlign w:val="center"/>
            <w:hideMark/>
          </w:tcPr>
          <w:p w14:paraId="364526D1" w14:textId="77777777"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2022</w:t>
            </w:r>
          </w:p>
        </w:tc>
        <w:tc>
          <w:tcPr>
            <w:tcW w:w="1143" w:type="dxa"/>
            <w:tcBorders>
              <w:top w:val="nil"/>
              <w:left w:val="nil"/>
              <w:bottom w:val="single" w:sz="4" w:space="0" w:color="auto"/>
              <w:right w:val="single" w:sz="4" w:space="0" w:color="auto"/>
            </w:tcBorders>
            <w:shd w:val="clear" w:color="auto" w:fill="auto"/>
            <w:vAlign w:val="center"/>
            <w:hideMark/>
          </w:tcPr>
          <w:p w14:paraId="15EEFABE" w14:textId="77777777"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Дахин төлөвлөлт</w:t>
            </w:r>
          </w:p>
        </w:tc>
        <w:tc>
          <w:tcPr>
            <w:tcW w:w="642" w:type="dxa"/>
            <w:tcBorders>
              <w:top w:val="nil"/>
              <w:left w:val="nil"/>
              <w:bottom w:val="single" w:sz="4" w:space="0" w:color="auto"/>
              <w:right w:val="single" w:sz="4" w:space="0" w:color="auto"/>
            </w:tcBorders>
            <w:shd w:val="clear" w:color="auto" w:fill="auto"/>
            <w:vAlign w:val="center"/>
            <w:hideMark/>
          </w:tcPr>
          <w:p w14:paraId="0C160432" w14:textId="77777777"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2022</w:t>
            </w:r>
          </w:p>
        </w:tc>
        <w:tc>
          <w:tcPr>
            <w:tcW w:w="1516" w:type="dxa"/>
            <w:tcBorders>
              <w:top w:val="nil"/>
              <w:left w:val="nil"/>
              <w:bottom w:val="single" w:sz="4" w:space="0" w:color="auto"/>
              <w:right w:val="single" w:sz="4" w:space="0" w:color="auto"/>
            </w:tcBorders>
            <w:shd w:val="clear" w:color="auto" w:fill="auto"/>
            <w:vAlign w:val="center"/>
            <w:hideMark/>
          </w:tcPr>
          <w:p w14:paraId="43ABBC58" w14:textId="77777777"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 xml:space="preserve">Орон нутгийн их сургуулиудын барилга байгууламжийн их засвар, өргөтгөлийн ажил гүйцэтгэх </w:t>
            </w:r>
          </w:p>
        </w:tc>
        <w:tc>
          <w:tcPr>
            <w:tcW w:w="3510" w:type="dxa"/>
            <w:tcBorders>
              <w:top w:val="nil"/>
              <w:left w:val="nil"/>
              <w:bottom w:val="single" w:sz="4" w:space="0" w:color="auto"/>
              <w:right w:val="single" w:sz="4" w:space="0" w:color="auto"/>
            </w:tcBorders>
            <w:shd w:val="clear" w:color="auto" w:fill="auto"/>
            <w:hideMark/>
          </w:tcPr>
          <w:p w14:paraId="2E654F11" w14:textId="6C38145F"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 xml:space="preserve">2. Дархан-Уул аймаг дахь төрийн өмчийн их сургуулийг “Сургалт-эрдэм шинжилгээ-үйлдвэрлэлийн цогцолбор” болгон хөгжүүлэх хүрээнд: </w:t>
            </w:r>
            <w:r w:rsidRPr="0081596A">
              <w:rPr>
                <w:rFonts w:ascii="Arial" w:eastAsia="Times New Roman" w:hAnsi="Arial" w:cs="Arial"/>
                <w:noProof/>
                <w:color w:val="000000"/>
                <w:sz w:val="18"/>
                <w:szCs w:val="18"/>
                <w:lang w:val="mn-MN"/>
              </w:rPr>
              <w:br/>
              <w:t xml:space="preserve">Дархан-Уул аймгийн </w:t>
            </w:r>
            <w:r>
              <w:rPr>
                <w:rFonts w:ascii="Arial" w:eastAsia="Times New Roman" w:hAnsi="Arial" w:cs="Arial"/>
                <w:noProof/>
                <w:color w:val="000000"/>
                <w:sz w:val="18"/>
                <w:szCs w:val="18"/>
                <w:lang w:val="mn-MN"/>
              </w:rPr>
              <w:t>и</w:t>
            </w:r>
            <w:r w:rsidRPr="0081596A">
              <w:rPr>
                <w:rFonts w:ascii="Arial" w:eastAsia="Times New Roman" w:hAnsi="Arial" w:cs="Arial"/>
                <w:noProof/>
                <w:color w:val="000000"/>
                <w:sz w:val="18"/>
                <w:szCs w:val="18"/>
                <w:lang w:val="mn-MN"/>
              </w:rPr>
              <w:t>х дээд сургуулиудыг одоогийн байршилд</w:t>
            </w:r>
            <w:r>
              <w:rPr>
                <w:rFonts w:ascii="Arial" w:eastAsia="Times New Roman" w:hAnsi="Arial" w:cs="Arial"/>
                <w:noProof/>
                <w:color w:val="000000"/>
                <w:sz w:val="18"/>
                <w:szCs w:val="18"/>
              </w:rPr>
              <w:t xml:space="preserve"> </w:t>
            </w:r>
            <w:r>
              <w:rPr>
                <w:rFonts w:ascii="Arial" w:eastAsia="Times New Roman" w:hAnsi="Arial" w:cs="Arial"/>
                <w:noProof/>
                <w:color w:val="000000"/>
                <w:sz w:val="18"/>
                <w:szCs w:val="18"/>
                <w:lang w:val="mn-MN"/>
              </w:rPr>
              <w:t>нь</w:t>
            </w:r>
            <w:r w:rsidRPr="0081596A">
              <w:rPr>
                <w:rFonts w:ascii="Arial" w:eastAsia="Times New Roman" w:hAnsi="Arial" w:cs="Arial"/>
                <w:noProof/>
                <w:color w:val="000000"/>
                <w:sz w:val="18"/>
                <w:szCs w:val="18"/>
                <w:lang w:val="mn-MN"/>
              </w:rPr>
              <w:t xml:space="preserve"> дахин төлөвлөлт хийж, оюутны тоог нэмэгдүүлэн барилгын их засвар, өргөтгөлийн ажлуудыг эхлүүлэхээр 2022, 2023 оны улсын төсөвт 5.0 тэрбумын хөрөнгө оруулалтын төсвийг суулган, 2022 оны төсвийн хөрөнгө оруулалт болох 1,4 тэрбум төгрөгөөр хийгдэх эхний ээлжийн бүтээн байгуулалтын ажлуудыг эхлүүлэхээр гүйцэтгэгч компаниудтай гүйцэтгэлийн гэрээг байгуулсан. - 2022-2023 оны хичээлийн жилд орон нутаг дахь элсэгчдийн тоог нэмэгдүүлэх зорилтын хүрээнд Дархан дахь их, дээд сургууль, политехникийн коллежуудын үйл ажиллагааны нэгдсэн төлөвлөгөөг гаргаж, БШУ-ны дэд сайдад 7 хоног бүр танилцуулан ажиллаж байна.  “Сургалт-эрдэм шинжилгээ-үйлдвэрлэлийн цогцолбор”-ыг байгуулахаар шинээр 30 га газрын гэрчилгээг гаргуулж, Дархан-Уул аймгийн ЗДТГ-тай гэрээ хийн, ерөнхий төлөвлөгөөний урьдчилсан загвар, ерөнхий ажлын төлөвлөгөө, урьдчилсан тооцоо, томсгосон төсвийг хийж гүйцэтгээд байна.</w:t>
            </w:r>
          </w:p>
        </w:tc>
        <w:tc>
          <w:tcPr>
            <w:tcW w:w="1246" w:type="dxa"/>
            <w:tcBorders>
              <w:top w:val="nil"/>
              <w:left w:val="nil"/>
              <w:bottom w:val="single" w:sz="4" w:space="0" w:color="auto"/>
              <w:right w:val="single" w:sz="4" w:space="0" w:color="auto"/>
            </w:tcBorders>
            <w:shd w:val="clear" w:color="auto" w:fill="auto"/>
            <w:vAlign w:val="center"/>
            <w:hideMark/>
          </w:tcPr>
          <w:p w14:paraId="7F970382" w14:textId="0722F609" w:rsidR="00366B9D" w:rsidRPr="0081596A" w:rsidRDefault="00366B9D" w:rsidP="002329D7">
            <w:pPr>
              <w:spacing w:after="0" w:line="240" w:lineRule="auto"/>
              <w:jc w:val="center"/>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50</w:t>
            </w:r>
            <w:r>
              <w:rPr>
                <w:rFonts w:ascii="Arial" w:eastAsia="Times New Roman" w:hAnsi="Arial" w:cs="Arial"/>
                <w:noProof/>
                <w:color w:val="000000"/>
                <w:sz w:val="18"/>
                <w:szCs w:val="18"/>
                <w:lang w:val="mn-MN"/>
              </w:rPr>
              <w:t>,0%</w:t>
            </w:r>
          </w:p>
        </w:tc>
        <w:tc>
          <w:tcPr>
            <w:tcW w:w="1638" w:type="dxa"/>
            <w:gridSpan w:val="2"/>
            <w:tcBorders>
              <w:top w:val="nil"/>
              <w:left w:val="nil"/>
              <w:bottom w:val="single" w:sz="4" w:space="0" w:color="auto"/>
              <w:right w:val="single" w:sz="4" w:space="0" w:color="auto"/>
            </w:tcBorders>
            <w:shd w:val="clear" w:color="auto" w:fill="auto"/>
            <w:vAlign w:val="center"/>
            <w:hideMark/>
          </w:tcPr>
          <w:p w14:paraId="5F6E853D" w14:textId="77777777"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 xml:space="preserve">2022 оны Улсын төсвийн хөрөнгө оруулалтаар ажил үйлчилгээ үзүүлж буй тул Төрийн худалдан авах ажиллагааны хуулийн дагуу хугацаагаар ажил гүйцэтгэгч хуулийн этгээдийг тодруулан гэрээ хийж дууссан. Гүйцэтгэл 7 дугаар сард эхэлнэ. </w:t>
            </w:r>
          </w:p>
        </w:tc>
      </w:tr>
      <w:tr w:rsidR="004E6AEA" w:rsidRPr="0081596A" w14:paraId="75748D66" w14:textId="77777777" w:rsidTr="004E6AEA">
        <w:trPr>
          <w:trHeight w:val="268"/>
        </w:trPr>
        <w:tc>
          <w:tcPr>
            <w:tcW w:w="526" w:type="dxa"/>
            <w:tcBorders>
              <w:top w:val="nil"/>
              <w:left w:val="single" w:sz="4" w:space="0" w:color="auto"/>
              <w:bottom w:val="single" w:sz="4" w:space="0" w:color="000000"/>
              <w:right w:val="single" w:sz="4" w:space="0" w:color="auto"/>
            </w:tcBorders>
          </w:tcPr>
          <w:p w14:paraId="421089B0" w14:textId="77777777" w:rsidR="00366B9D" w:rsidRPr="0081596A" w:rsidRDefault="00366B9D" w:rsidP="0081596A">
            <w:pPr>
              <w:spacing w:after="0" w:line="240" w:lineRule="auto"/>
              <w:rPr>
                <w:rFonts w:ascii="Arial" w:eastAsia="Times New Roman" w:hAnsi="Arial" w:cs="Arial"/>
                <w:noProof/>
                <w:color w:val="000000"/>
                <w:sz w:val="18"/>
                <w:szCs w:val="18"/>
                <w:lang w:val="mn-MN"/>
              </w:rPr>
            </w:pPr>
          </w:p>
        </w:tc>
        <w:tc>
          <w:tcPr>
            <w:tcW w:w="1440" w:type="dxa"/>
            <w:vMerge/>
            <w:tcBorders>
              <w:top w:val="nil"/>
              <w:left w:val="single" w:sz="4" w:space="0" w:color="auto"/>
              <w:bottom w:val="single" w:sz="4" w:space="0" w:color="000000"/>
              <w:right w:val="single" w:sz="4" w:space="0" w:color="auto"/>
            </w:tcBorders>
            <w:vAlign w:val="center"/>
            <w:hideMark/>
          </w:tcPr>
          <w:p w14:paraId="7B6CCE5A" w14:textId="300B7191" w:rsidR="00366B9D" w:rsidRPr="0081596A" w:rsidRDefault="00366B9D" w:rsidP="0081596A">
            <w:pPr>
              <w:spacing w:after="0" w:line="240" w:lineRule="auto"/>
              <w:rPr>
                <w:rFonts w:ascii="Arial" w:eastAsia="Times New Roman" w:hAnsi="Arial" w:cs="Arial"/>
                <w:noProof/>
                <w:color w:val="000000"/>
                <w:sz w:val="18"/>
                <w:szCs w:val="18"/>
                <w:lang w:val="mn-MN"/>
              </w:rPr>
            </w:pPr>
          </w:p>
        </w:tc>
        <w:tc>
          <w:tcPr>
            <w:tcW w:w="755" w:type="dxa"/>
            <w:vMerge/>
            <w:tcBorders>
              <w:top w:val="nil"/>
              <w:left w:val="single" w:sz="4" w:space="0" w:color="auto"/>
              <w:bottom w:val="single" w:sz="4" w:space="0" w:color="000000"/>
              <w:right w:val="single" w:sz="4" w:space="0" w:color="auto"/>
            </w:tcBorders>
            <w:vAlign w:val="center"/>
            <w:hideMark/>
          </w:tcPr>
          <w:p w14:paraId="18354DF5" w14:textId="77777777" w:rsidR="00366B9D" w:rsidRPr="0081596A" w:rsidRDefault="00366B9D" w:rsidP="0081596A">
            <w:pPr>
              <w:spacing w:after="0" w:line="240" w:lineRule="auto"/>
              <w:rPr>
                <w:rFonts w:ascii="Arial" w:eastAsia="Times New Roman" w:hAnsi="Arial" w:cs="Arial"/>
                <w:noProof/>
                <w:color w:val="000000"/>
                <w:sz w:val="18"/>
                <w:szCs w:val="18"/>
                <w:lang w:val="mn-MN"/>
              </w:rPr>
            </w:pPr>
          </w:p>
        </w:tc>
        <w:tc>
          <w:tcPr>
            <w:tcW w:w="1449" w:type="dxa"/>
            <w:vMerge/>
            <w:tcBorders>
              <w:top w:val="nil"/>
              <w:left w:val="single" w:sz="4" w:space="0" w:color="auto"/>
              <w:bottom w:val="single" w:sz="4" w:space="0" w:color="000000"/>
              <w:right w:val="single" w:sz="4" w:space="0" w:color="auto"/>
            </w:tcBorders>
            <w:vAlign w:val="center"/>
            <w:hideMark/>
          </w:tcPr>
          <w:p w14:paraId="4FFC5BD6" w14:textId="77777777" w:rsidR="00366B9D" w:rsidRPr="0081596A" w:rsidRDefault="00366B9D" w:rsidP="0081596A">
            <w:pPr>
              <w:spacing w:after="0" w:line="240" w:lineRule="auto"/>
              <w:rPr>
                <w:rFonts w:ascii="Arial" w:eastAsia="Times New Roman" w:hAnsi="Arial" w:cs="Arial"/>
                <w:noProof/>
                <w:color w:val="000000"/>
                <w:sz w:val="18"/>
                <w:szCs w:val="18"/>
                <w:lang w:val="mn-MN"/>
              </w:rPr>
            </w:pPr>
          </w:p>
        </w:tc>
        <w:tc>
          <w:tcPr>
            <w:tcW w:w="643" w:type="dxa"/>
            <w:tcBorders>
              <w:top w:val="nil"/>
              <w:left w:val="nil"/>
              <w:bottom w:val="single" w:sz="4" w:space="0" w:color="auto"/>
              <w:right w:val="single" w:sz="4" w:space="0" w:color="auto"/>
            </w:tcBorders>
            <w:shd w:val="clear" w:color="auto" w:fill="auto"/>
            <w:vAlign w:val="center"/>
            <w:hideMark/>
          </w:tcPr>
          <w:p w14:paraId="1F5C048D" w14:textId="77777777" w:rsidR="00366B9D" w:rsidRPr="0081596A" w:rsidRDefault="00366B9D" w:rsidP="0081596A">
            <w:pPr>
              <w:spacing w:after="0" w:line="240" w:lineRule="auto"/>
              <w:jc w:val="center"/>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2022</w:t>
            </w:r>
          </w:p>
        </w:tc>
        <w:tc>
          <w:tcPr>
            <w:tcW w:w="1143" w:type="dxa"/>
            <w:tcBorders>
              <w:top w:val="nil"/>
              <w:left w:val="nil"/>
              <w:bottom w:val="single" w:sz="4" w:space="0" w:color="auto"/>
              <w:right w:val="single" w:sz="4" w:space="0" w:color="auto"/>
            </w:tcBorders>
            <w:shd w:val="clear" w:color="auto" w:fill="auto"/>
            <w:vAlign w:val="center"/>
            <w:hideMark/>
          </w:tcPr>
          <w:p w14:paraId="2827469A" w14:textId="77777777"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Шинээр сургууль байгуулах</w:t>
            </w:r>
          </w:p>
        </w:tc>
        <w:tc>
          <w:tcPr>
            <w:tcW w:w="642" w:type="dxa"/>
            <w:tcBorders>
              <w:top w:val="nil"/>
              <w:left w:val="nil"/>
              <w:bottom w:val="single" w:sz="4" w:space="0" w:color="auto"/>
              <w:right w:val="single" w:sz="4" w:space="0" w:color="auto"/>
            </w:tcBorders>
            <w:shd w:val="clear" w:color="auto" w:fill="auto"/>
            <w:vAlign w:val="center"/>
            <w:hideMark/>
          </w:tcPr>
          <w:p w14:paraId="05CC5053" w14:textId="77777777"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2022</w:t>
            </w:r>
          </w:p>
        </w:tc>
        <w:tc>
          <w:tcPr>
            <w:tcW w:w="1516" w:type="dxa"/>
            <w:tcBorders>
              <w:top w:val="nil"/>
              <w:left w:val="nil"/>
              <w:bottom w:val="single" w:sz="4" w:space="0" w:color="auto"/>
              <w:right w:val="single" w:sz="4" w:space="0" w:color="auto"/>
            </w:tcBorders>
            <w:shd w:val="clear" w:color="auto" w:fill="auto"/>
            <w:vAlign w:val="center"/>
            <w:hideMark/>
          </w:tcPr>
          <w:p w14:paraId="0A32337B" w14:textId="77777777"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Сургууль байгуулах, Цогцолборын хөрөнгө оруулагчийг тодорхой болгох гэрээ хийх</w:t>
            </w:r>
          </w:p>
        </w:tc>
        <w:tc>
          <w:tcPr>
            <w:tcW w:w="3510" w:type="dxa"/>
            <w:tcBorders>
              <w:top w:val="nil"/>
              <w:left w:val="nil"/>
              <w:bottom w:val="single" w:sz="4" w:space="0" w:color="auto"/>
              <w:right w:val="single" w:sz="4" w:space="0" w:color="auto"/>
            </w:tcBorders>
            <w:shd w:val="clear" w:color="auto" w:fill="auto"/>
            <w:vAlign w:val="bottom"/>
            <w:hideMark/>
          </w:tcPr>
          <w:p w14:paraId="42EDB96B" w14:textId="77777777"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3. Өмнөговь аймагт геологи, уул уурхайн чиглэлээр Шинжлэх ухаан, технологийн их сургуулийн харьяа салбар сургууль шинээр байгуулах ажлын хүрээнд:</w:t>
            </w:r>
            <w:r w:rsidRPr="0081596A">
              <w:rPr>
                <w:rFonts w:ascii="Arial" w:eastAsia="Times New Roman" w:hAnsi="Arial" w:cs="Arial"/>
                <w:noProof/>
                <w:color w:val="000000"/>
                <w:sz w:val="18"/>
                <w:szCs w:val="18"/>
                <w:lang w:val="mn-MN"/>
              </w:rPr>
              <w:br/>
              <w:t xml:space="preserve">Өмнөговь аймагт “Сургалт-эрдэм шинжилгээ-үйлдвэрлэлийн цогцолбор”-ын ерөнхий төлөвлөгөөний урьдчилсан загвар, ерөнхий ажлын төлөвлөгөө, урьдчилсан тооцоо, томсгосон </w:t>
            </w:r>
            <w:r w:rsidRPr="0081596A">
              <w:rPr>
                <w:rFonts w:ascii="Arial" w:eastAsia="Times New Roman" w:hAnsi="Arial" w:cs="Arial"/>
                <w:noProof/>
                <w:color w:val="000000"/>
                <w:sz w:val="18"/>
                <w:szCs w:val="18"/>
                <w:lang w:val="mn-MN"/>
              </w:rPr>
              <w:lastRenderedPageBreak/>
              <w:t xml:space="preserve">төсвийг хийж гүйцэтгэсэн бөгөөд 20 га газрын гэрчилгээг гаргуулахаар Өмнөговь аймгийн ЗДТГ-тай тохиролцоод байна. Өмнөговь аймагт ШУТИС-ийн харьяа Технологийн дээд сургуулийг байгуулах тухай Засгийн газрын тогтоолын төслийг боловсруулан, батлуулахаар ажиллаж байна.  Монгол Улсын Засгийн газрын тэргүүн, танхимын бусад гишүүд, БШУ-ны сайд, дэд сайд нар “Сургалт-эрдэм шинжилгээ-үйлдвэрлэлийн цогцолбор”-ын шавь тавих ёслолд оролцон, албан ёсоор бүтээн байгуулалтын ажлыг эхлүүлэв. </w:t>
            </w:r>
            <w:r w:rsidRPr="0081596A">
              <w:rPr>
                <w:rFonts w:ascii="Arial" w:eastAsia="Times New Roman" w:hAnsi="Arial" w:cs="Arial"/>
                <w:noProof/>
                <w:color w:val="000000"/>
                <w:sz w:val="18"/>
                <w:szCs w:val="18"/>
                <w:lang w:val="mn-MN"/>
              </w:rPr>
              <w:br/>
              <w:t>“Сургалт-эрдэм шинжилгээ-үйлдвэрлэлийн цогцолбор”-ын хөрөнгө оруулалтын талаар БШУ-ны сайд Л.Энх-Амгалан, Оюу Толгой ХХК-ын гүйцэтгэх захирал Дэйрдрэ Лингенфэлде нар уулзалт хийн, Оюу Толгой ХХК-аас цогцолборын ТЭЗҮ-д шаардлагатай санхүүжилтэд хөрөнгө оруулах болсон тухайгаа илэрхийлж, цаашдын бүтээн байгуулалттай холбоотойгоор хамтран ажиллах санамж бичиг, ажлын хэсэг байгуулахаар харилцан тохиролцов. Өмнөговь аймаг ЗДТГ, ШУТИС-тай хамтын ажиллагааны санамж бичгийг байгуулж хамтын ажиллагааг эхлүүлээд байна.</w:t>
            </w:r>
          </w:p>
        </w:tc>
        <w:tc>
          <w:tcPr>
            <w:tcW w:w="1246" w:type="dxa"/>
            <w:tcBorders>
              <w:top w:val="nil"/>
              <w:left w:val="nil"/>
              <w:bottom w:val="single" w:sz="4" w:space="0" w:color="auto"/>
              <w:right w:val="single" w:sz="4" w:space="0" w:color="auto"/>
            </w:tcBorders>
            <w:shd w:val="clear" w:color="auto" w:fill="auto"/>
            <w:vAlign w:val="center"/>
            <w:hideMark/>
          </w:tcPr>
          <w:p w14:paraId="34EF1F81" w14:textId="7CD0FD49" w:rsidR="00366B9D" w:rsidRPr="0081596A" w:rsidRDefault="000D530A" w:rsidP="003A4814">
            <w:pPr>
              <w:spacing w:after="0" w:line="240" w:lineRule="auto"/>
              <w:jc w:val="center"/>
              <w:rPr>
                <w:rFonts w:ascii="Arial" w:eastAsia="Times New Roman" w:hAnsi="Arial" w:cs="Arial"/>
                <w:noProof/>
                <w:color w:val="000000"/>
                <w:sz w:val="18"/>
                <w:szCs w:val="18"/>
                <w:lang w:val="mn-MN"/>
              </w:rPr>
            </w:pPr>
            <w:r>
              <w:rPr>
                <w:rFonts w:ascii="Arial" w:eastAsia="Times New Roman" w:hAnsi="Arial" w:cs="Arial"/>
                <w:noProof/>
                <w:color w:val="000000"/>
                <w:sz w:val="18"/>
                <w:szCs w:val="18"/>
                <w:lang w:val="mn-MN"/>
              </w:rPr>
              <w:lastRenderedPageBreak/>
              <w:t>5</w:t>
            </w:r>
            <w:r w:rsidR="00366B9D" w:rsidRPr="0081596A">
              <w:rPr>
                <w:rFonts w:ascii="Arial" w:eastAsia="Times New Roman" w:hAnsi="Arial" w:cs="Arial"/>
                <w:noProof/>
                <w:color w:val="000000"/>
                <w:sz w:val="18"/>
                <w:szCs w:val="18"/>
                <w:lang w:val="mn-MN"/>
              </w:rPr>
              <w:t>0</w:t>
            </w:r>
            <w:r w:rsidR="00366B9D">
              <w:rPr>
                <w:rFonts w:ascii="Arial" w:eastAsia="Times New Roman" w:hAnsi="Arial" w:cs="Arial"/>
                <w:noProof/>
                <w:color w:val="000000"/>
                <w:sz w:val="18"/>
                <w:szCs w:val="18"/>
                <w:lang w:val="mn-MN"/>
              </w:rPr>
              <w:t>,0%</w:t>
            </w:r>
          </w:p>
        </w:tc>
        <w:tc>
          <w:tcPr>
            <w:tcW w:w="1638" w:type="dxa"/>
            <w:gridSpan w:val="2"/>
            <w:tcBorders>
              <w:top w:val="nil"/>
              <w:left w:val="nil"/>
              <w:bottom w:val="single" w:sz="4" w:space="0" w:color="auto"/>
              <w:right w:val="single" w:sz="4" w:space="0" w:color="auto"/>
            </w:tcBorders>
            <w:shd w:val="clear" w:color="auto" w:fill="auto"/>
            <w:vAlign w:val="center"/>
            <w:hideMark/>
          </w:tcPr>
          <w:p w14:paraId="54986557" w14:textId="77777777"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Оюу Толгой ХХК-тай хөрөнгө оруулалтын санамж бичигт 7 дугаар сард багтан гарын үсэг зурахаар төлөвлөөд байна.</w:t>
            </w:r>
          </w:p>
        </w:tc>
      </w:tr>
      <w:tr w:rsidR="004E6AEA" w:rsidRPr="0081596A" w14:paraId="679B195F" w14:textId="77777777" w:rsidTr="004E6AEA">
        <w:trPr>
          <w:trHeight w:val="1860"/>
        </w:trPr>
        <w:tc>
          <w:tcPr>
            <w:tcW w:w="526" w:type="dxa"/>
            <w:tcBorders>
              <w:top w:val="nil"/>
              <w:left w:val="single" w:sz="4" w:space="0" w:color="auto"/>
              <w:bottom w:val="single" w:sz="4" w:space="0" w:color="000000"/>
              <w:right w:val="single" w:sz="4" w:space="0" w:color="auto"/>
            </w:tcBorders>
          </w:tcPr>
          <w:p w14:paraId="16264849" w14:textId="77777777" w:rsidR="00366B9D" w:rsidRPr="0081596A" w:rsidRDefault="00366B9D" w:rsidP="0081596A">
            <w:pPr>
              <w:spacing w:after="0" w:line="240" w:lineRule="auto"/>
              <w:rPr>
                <w:rFonts w:ascii="Arial" w:eastAsia="Times New Roman" w:hAnsi="Arial" w:cs="Arial"/>
                <w:noProof/>
                <w:color w:val="000000"/>
                <w:sz w:val="18"/>
                <w:szCs w:val="18"/>
                <w:lang w:val="mn-MN"/>
              </w:rPr>
            </w:pPr>
          </w:p>
        </w:tc>
        <w:tc>
          <w:tcPr>
            <w:tcW w:w="1440" w:type="dxa"/>
            <w:vMerge/>
            <w:tcBorders>
              <w:top w:val="nil"/>
              <w:left w:val="single" w:sz="4" w:space="0" w:color="auto"/>
              <w:bottom w:val="single" w:sz="4" w:space="0" w:color="000000"/>
              <w:right w:val="single" w:sz="4" w:space="0" w:color="auto"/>
            </w:tcBorders>
            <w:vAlign w:val="center"/>
            <w:hideMark/>
          </w:tcPr>
          <w:p w14:paraId="1361773F" w14:textId="0F7EFFC1" w:rsidR="00366B9D" w:rsidRPr="0081596A" w:rsidRDefault="00366B9D" w:rsidP="0081596A">
            <w:pPr>
              <w:spacing w:after="0" w:line="240" w:lineRule="auto"/>
              <w:rPr>
                <w:rFonts w:ascii="Arial" w:eastAsia="Times New Roman" w:hAnsi="Arial" w:cs="Arial"/>
                <w:noProof/>
                <w:color w:val="000000"/>
                <w:sz w:val="18"/>
                <w:szCs w:val="18"/>
                <w:lang w:val="mn-MN"/>
              </w:rPr>
            </w:pPr>
          </w:p>
        </w:tc>
        <w:tc>
          <w:tcPr>
            <w:tcW w:w="755" w:type="dxa"/>
            <w:vMerge/>
            <w:tcBorders>
              <w:top w:val="nil"/>
              <w:left w:val="single" w:sz="4" w:space="0" w:color="auto"/>
              <w:bottom w:val="single" w:sz="4" w:space="0" w:color="000000"/>
              <w:right w:val="single" w:sz="4" w:space="0" w:color="auto"/>
            </w:tcBorders>
            <w:vAlign w:val="center"/>
            <w:hideMark/>
          </w:tcPr>
          <w:p w14:paraId="1D2862A9" w14:textId="77777777" w:rsidR="00366B9D" w:rsidRPr="0081596A" w:rsidRDefault="00366B9D" w:rsidP="0081596A">
            <w:pPr>
              <w:spacing w:after="0" w:line="240" w:lineRule="auto"/>
              <w:rPr>
                <w:rFonts w:ascii="Arial" w:eastAsia="Times New Roman" w:hAnsi="Arial" w:cs="Arial"/>
                <w:noProof/>
                <w:color w:val="000000"/>
                <w:sz w:val="18"/>
                <w:szCs w:val="18"/>
                <w:lang w:val="mn-MN"/>
              </w:rPr>
            </w:pPr>
          </w:p>
        </w:tc>
        <w:tc>
          <w:tcPr>
            <w:tcW w:w="1449" w:type="dxa"/>
            <w:vMerge/>
            <w:tcBorders>
              <w:top w:val="nil"/>
              <w:left w:val="single" w:sz="4" w:space="0" w:color="auto"/>
              <w:bottom w:val="single" w:sz="4" w:space="0" w:color="000000"/>
              <w:right w:val="single" w:sz="4" w:space="0" w:color="auto"/>
            </w:tcBorders>
            <w:vAlign w:val="center"/>
            <w:hideMark/>
          </w:tcPr>
          <w:p w14:paraId="315DBEC5" w14:textId="77777777" w:rsidR="00366B9D" w:rsidRPr="0081596A" w:rsidRDefault="00366B9D" w:rsidP="0081596A">
            <w:pPr>
              <w:spacing w:after="0" w:line="240" w:lineRule="auto"/>
              <w:rPr>
                <w:rFonts w:ascii="Arial" w:eastAsia="Times New Roman" w:hAnsi="Arial" w:cs="Arial"/>
                <w:noProof/>
                <w:color w:val="000000"/>
                <w:sz w:val="18"/>
                <w:szCs w:val="18"/>
                <w:lang w:val="mn-MN"/>
              </w:rPr>
            </w:pPr>
          </w:p>
        </w:tc>
        <w:tc>
          <w:tcPr>
            <w:tcW w:w="643" w:type="dxa"/>
            <w:tcBorders>
              <w:top w:val="nil"/>
              <w:left w:val="nil"/>
              <w:bottom w:val="single" w:sz="4" w:space="0" w:color="auto"/>
              <w:right w:val="single" w:sz="4" w:space="0" w:color="auto"/>
            </w:tcBorders>
            <w:shd w:val="clear" w:color="auto" w:fill="auto"/>
            <w:vAlign w:val="center"/>
            <w:hideMark/>
          </w:tcPr>
          <w:p w14:paraId="746C4914" w14:textId="77777777" w:rsidR="00366B9D" w:rsidRPr="0081596A" w:rsidRDefault="00366B9D" w:rsidP="0081596A">
            <w:pPr>
              <w:spacing w:after="0" w:line="240" w:lineRule="auto"/>
              <w:jc w:val="center"/>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2022</w:t>
            </w:r>
          </w:p>
        </w:tc>
        <w:tc>
          <w:tcPr>
            <w:tcW w:w="1143" w:type="dxa"/>
            <w:tcBorders>
              <w:top w:val="nil"/>
              <w:left w:val="nil"/>
              <w:bottom w:val="single" w:sz="4" w:space="0" w:color="auto"/>
              <w:right w:val="single" w:sz="4" w:space="0" w:color="auto"/>
            </w:tcBorders>
            <w:shd w:val="clear" w:color="auto" w:fill="auto"/>
            <w:vAlign w:val="center"/>
            <w:hideMark/>
          </w:tcPr>
          <w:p w14:paraId="793C8956" w14:textId="77777777"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Шинээр төлөвлөх</w:t>
            </w:r>
          </w:p>
        </w:tc>
        <w:tc>
          <w:tcPr>
            <w:tcW w:w="642" w:type="dxa"/>
            <w:tcBorders>
              <w:top w:val="nil"/>
              <w:left w:val="nil"/>
              <w:bottom w:val="single" w:sz="4" w:space="0" w:color="auto"/>
              <w:right w:val="single" w:sz="4" w:space="0" w:color="auto"/>
            </w:tcBorders>
            <w:shd w:val="clear" w:color="auto" w:fill="auto"/>
            <w:vAlign w:val="center"/>
            <w:hideMark/>
          </w:tcPr>
          <w:p w14:paraId="226D98DD" w14:textId="77777777"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2022</w:t>
            </w:r>
          </w:p>
        </w:tc>
        <w:tc>
          <w:tcPr>
            <w:tcW w:w="1516" w:type="dxa"/>
            <w:tcBorders>
              <w:top w:val="nil"/>
              <w:left w:val="nil"/>
              <w:bottom w:val="single" w:sz="4" w:space="0" w:color="auto"/>
              <w:right w:val="single" w:sz="4" w:space="0" w:color="auto"/>
            </w:tcBorders>
            <w:shd w:val="clear" w:color="auto" w:fill="auto"/>
            <w:vAlign w:val="center"/>
            <w:hideMark/>
          </w:tcPr>
          <w:p w14:paraId="618E0A0F" w14:textId="77777777"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Ерөнхий төлөвлөгөөг батлах</w:t>
            </w:r>
          </w:p>
        </w:tc>
        <w:tc>
          <w:tcPr>
            <w:tcW w:w="3510" w:type="dxa"/>
            <w:tcBorders>
              <w:top w:val="nil"/>
              <w:left w:val="nil"/>
              <w:bottom w:val="single" w:sz="4" w:space="0" w:color="auto"/>
              <w:right w:val="single" w:sz="4" w:space="0" w:color="auto"/>
            </w:tcBorders>
            <w:shd w:val="clear" w:color="auto" w:fill="auto"/>
            <w:hideMark/>
          </w:tcPr>
          <w:p w14:paraId="2124CEFF" w14:textId="785EC6EA"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 xml:space="preserve">4. Хөшигийн хөндий дэх </w:t>
            </w:r>
            <w:r>
              <w:rPr>
                <w:rFonts w:ascii="Arial" w:eastAsia="Times New Roman" w:hAnsi="Arial" w:cs="Arial"/>
                <w:noProof/>
                <w:color w:val="000000"/>
                <w:sz w:val="18"/>
                <w:szCs w:val="18"/>
                <w:lang w:val="mn-MN"/>
              </w:rPr>
              <w:t>и</w:t>
            </w:r>
            <w:r w:rsidRPr="0081596A">
              <w:rPr>
                <w:rFonts w:ascii="Arial" w:eastAsia="Times New Roman" w:hAnsi="Arial" w:cs="Arial"/>
                <w:noProof/>
                <w:color w:val="000000"/>
                <w:sz w:val="18"/>
                <w:szCs w:val="18"/>
                <w:lang w:val="mn-MN"/>
              </w:rPr>
              <w:t>х, дээд сургуулиудын нэгдсэн “Сургалт эрдэм шинжилгээ үйлдвэрлэлийн цогцолбор”-ын хүрээнд: Сургалт, эрдэм шинжилгээ, үйлдвэрлэлийн цогцолбор”-ын ерөнхий төлөвлөгөөний урьдчилсан загвар, ерөнхий ажлын төлөвлөгөө, урьдчилсан тооцоо, томсгосон төсвийг хийж гүйцэтгэ</w:t>
            </w:r>
            <w:r>
              <w:rPr>
                <w:rFonts w:ascii="Arial" w:eastAsia="Times New Roman" w:hAnsi="Arial" w:cs="Arial"/>
                <w:noProof/>
                <w:color w:val="000000"/>
                <w:sz w:val="18"/>
                <w:szCs w:val="18"/>
                <w:lang w:val="mn-MN"/>
              </w:rPr>
              <w:t>сэн</w:t>
            </w:r>
            <w:r w:rsidRPr="0081596A">
              <w:rPr>
                <w:rFonts w:ascii="Arial" w:eastAsia="Times New Roman" w:hAnsi="Arial" w:cs="Arial"/>
                <w:noProof/>
                <w:color w:val="000000"/>
                <w:sz w:val="18"/>
                <w:szCs w:val="18"/>
                <w:lang w:val="mn-MN"/>
              </w:rPr>
              <w:t xml:space="preserve">. </w:t>
            </w:r>
            <w:r w:rsidRPr="0081596A">
              <w:rPr>
                <w:rFonts w:ascii="Arial" w:eastAsia="Times New Roman" w:hAnsi="Arial" w:cs="Arial"/>
                <w:noProof/>
                <w:color w:val="000000"/>
                <w:sz w:val="18"/>
                <w:szCs w:val="18"/>
                <w:lang w:val="mn-MN"/>
              </w:rPr>
              <w:br/>
              <w:t xml:space="preserve">“Сургалт эрдэм шинжилгээ үйлдвэрлэлийн цогцолбор”-ын ерөнхий төлөвлөгөөний ажлын </w:t>
            </w:r>
            <w:r w:rsidRPr="0081596A">
              <w:rPr>
                <w:rFonts w:ascii="Arial" w:eastAsia="Times New Roman" w:hAnsi="Arial" w:cs="Arial"/>
                <w:noProof/>
                <w:color w:val="000000"/>
                <w:sz w:val="18"/>
                <w:szCs w:val="18"/>
                <w:lang w:val="mn-MN"/>
              </w:rPr>
              <w:lastRenderedPageBreak/>
              <w:t xml:space="preserve">даалгаврыг боловсруулан, БХБЯ-ны Төрийн нарийн бичгийн дарга, БШУЯ-ны Төрийн нарийн бичгийн дарга нараар батлуулсан. </w:t>
            </w:r>
            <w:r w:rsidRPr="0081596A">
              <w:rPr>
                <w:rFonts w:ascii="Arial" w:eastAsia="Times New Roman" w:hAnsi="Arial" w:cs="Arial"/>
                <w:noProof/>
                <w:color w:val="000000"/>
                <w:sz w:val="18"/>
                <w:szCs w:val="18"/>
                <w:lang w:val="mn-MN"/>
              </w:rPr>
              <w:br/>
              <w:t>“Сургалт эрдэм шинжилгээ үйлдвэрлэлийн цогцолбор”-ын ерөнхий төлөвлөгөө боловсруулах худалдан авах ажиллагаа зарлан гүйцэтгэгч компанийг шалгаруулан, гүйцэтгэлийн гэрээг байгуулан ажлыг эхлүүлээд байна.</w:t>
            </w:r>
          </w:p>
        </w:tc>
        <w:tc>
          <w:tcPr>
            <w:tcW w:w="1246" w:type="dxa"/>
            <w:tcBorders>
              <w:top w:val="nil"/>
              <w:left w:val="nil"/>
              <w:bottom w:val="single" w:sz="4" w:space="0" w:color="auto"/>
              <w:right w:val="single" w:sz="4" w:space="0" w:color="auto"/>
            </w:tcBorders>
            <w:shd w:val="clear" w:color="auto" w:fill="auto"/>
            <w:vAlign w:val="center"/>
            <w:hideMark/>
          </w:tcPr>
          <w:p w14:paraId="1C25D58B" w14:textId="14FE24FB" w:rsidR="00366B9D" w:rsidRPr="0081596A" w:rsidRDefault="00366B9D" w:rsidP="007A0CED">
            <w:pPr>
              <w:spacing w:after="0" w:line="240" w:lineRule="auto"/>
              <w:jc w:val="center"/>
              <w:rPr>
                <w:rFonts w:ascii="Arial" w:eastAsia="Times New Roman" w:hAnsi="Arial" w:cs="Arial"/>
                <w:noProof/>
                <w:color w:val="000000"/>
                <w:sz w:val="18"/>
                <w:szCs w:val="18"/>
                <w:lang w:val="mn-MN"/>
              </w:rPr>
            </w:pPr>
            <w:r>
              <w:rPr>
                <w:rFonts w:ascii="Arial" w:eastAsia="Times New Roman" w:hAnsi="Arial" w:cs="Arial"/>
                <w:noProof/>
                <w:color w:val="000000"/>
                <w:sz w:val="18"/>
                <w:szCs w:val="18"/>
                <w:lang w:val="mn-MN"/>
              </w:rPr>
              <w:lastRenderedPageBreak/>
              <w:t>70,0%</w:t>
            </w:r>
          </w:p>
        </w:tc>
        <w:tc>
          <w:tcPr>
            <w:tcW w:w="1638" w:type="dxa"/>
            <w:gridSpan w:val="2"/>
            <w:tcBorders>
              <w:top w:val="nil"/>
              <w:left w:val="nil"/>
              <w:bottom w:val="single" w:sz="4" w:space="0" w:color="auto"/>
              <w:right w:val="single" w:sz="4" w:space="0" w:color="auto"/>
            </w:tcBorders>
            <w:shd w:val="clear" w:color="auto" w:fill="auto"/>
            <w:vAlign w:val="center"/>
            <w:hideMark/>
          </w:tcPr>
          <w:p w14:paraId="727E0538" w14:textId="77777777"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 xml:space="preserve">Гэрээний хугацаа дуусаагүй, гүйцэтгэл хийгдэж байна. </w:t>
            </w:r>
          </w:p>
        </w:tc>
      </w:tr>
      <w:tr w:rsidR="004E6AEA" w:rsidRPr="0081596A" w14:paraId="5AB7CB38" w14:textId="77777777" w:rsidTr="00B545C0">
        <w:trPr>
          <w:trHeight w:val="5513"/>
        </w:trPr>
        <w:tc>
          <w:tcPr>
            <w:tcW w:w="526" w:type="dxa"/>
            <w:tcBorders>
              <w:top w:val="nil"/>
              <w:left w:val="single" w:sz="4" w:space="0" w:color="auto"/>
              <w:bottom w:val="nil"/>
              <w:right w:val="single" w:sz="4" w:space="0" w:color="auto"/>
            </w:tcBorders>
            <w:vAlign w:val="center"/>
          </w:tcPr>
          <w:p w14:paraId="5798C01F" w14:textId="5026140F" w:rsidR="00366B9D" w:rsidRPr="0081596A" w:rsidRDefault="00366B9D" w:rsidP="00B545C0">
            <w:pPr>
              <w:spacing w:after="0" w:line="240" w:lineRule="auto"/>
              <w:jc w:val="center"/>
              <w:rPr>
                <w:rFonts w:ascii="Arial" w:eastAsia="Times New Roman" w:hAnsi="Arial" w:cs="Arial"/>
                <w:noProof/>
                <w:color w:val="000000"/>
                <w:sz w:val="18"/>
                <w:szCs w:val="18"/>
                <w:lang w:val="mn-MN"/>
              </w:rPr>
            </w:pPr>
            <w:r>
              <w:rPr>
                <w:rFonts w:ascii="Arial" w:eastAsia="Times New Roman" w:hAnsi="Arial" w:cs="Arial"/>
                <w:noProof/>
                <w:color w:val="000000"/>
                <w:sz w:val="18"/>
                <w:szCs w:val="18"/>
                <w:lang w:val="mn-MN"/>
              </w:rPr>
              <w:t>2</w:t>
            </w:r>
          </w:p>
        </w:tc>
        <w:tc>
          <w:tcPr>
            <w:tcW w:w="1440" w:type="dxa"/>
            <w:tcBorders>
              <w:top w:val="nil"/>
              <w:left w:val="single" w:sz="4" w:space="0" w:color="auto"/>
              <w:bottom w:val="nil"/>
              <w:right w:val="single" w:sz="4" w:space="0" w:color="auto"/>
            </w:tcBorders>
            <w:shd w:val="clear" w:color="auto" w:fill="auto"/>
            <w:vAlign w:val="center"/>
            <w:hideMark/>
          </w:tcPr>
          <w:p w14:paraId="44293E3C" w14:textId="55AFE2B3"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 xml:space="preserve">'Цахим үндэстэн'' болох арга хэмжээг эрчимжүүлж, нийтийн мэдээллийн дэд бүтцийг боловсронгуй болгож, цаасан суурьтай үйл ажиллагааг багасган цахим харилцаанд шилжиж, нийтийн мэдээллийн системээс олж авах, солилцох боломжтой мэдээллийг иргэн, хуулийн этгээдээс шаардахгүй байх нөхцөлийг хангаж, цахимаар үзүүлэх төрийн үйлчилгээний хүртээмж, </w:t>
            </w:r>
            <w:r w:rsidRPr="0081596A">
              <w:rPr>
                <w:rFonts w:ascii="Arial" w:eastAsia="Times New Roman" w:hAnsi="Arial" w:cs="Arial"/>
                <w:noProof/>
                <w:color w:val="000000"/>
                <w:sz w:val="18"/>
                <w:szCs w:val="18"/>
                <w:lang w:val="mn-MN"/>
              </w:rPr>
              <w:lastRenderedPageBreak/>
              <w:t>тоог нэмэгдүүлж, иргэнийг цахим гарын үсгээр хангах ажлыг үе шаттайгаар хэрэгжүүлэх</w:t>
            </w:r>
          </w:p>
        </w:tc>
        <w:tc>
          <w:tcPr>
            <w:tcW w:w="755" w:type="dxa"/>
            <w:tcBorders>
              <w:top w:val="nil"/>
              <w:left w:val="nil"/>
              <w:bottom w:val="nil"/>
              <w:right w:val="single" w:sz="4" w:space="0" w:color="auto"/>
            </w:tcBorders>
            <w:shd w:val="clear" w:color="auto" w:fill="auto"/>
            <w:vAlign w:val="center"/>
            <w:hideMark/>
          </w:tcPr>
          <w:p w14:paraId="7D454CC6" w14:textId="77777777"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lastRenderedPageBreak/>
              <w:t>-</w:t>
            </w:r>
          </w:p>
        </w:tc>
        <w:tc>
          <w:tcPr>
            <w:tcW w:w="1449" w:type="dxa"/>
            <w:tcBorders>
              <w:top w:val="nil"/>
              <w:left w:val="nil"/>
              <w:bottom w:val="nil"/>
              <w:right w:val="single" w:sz="4" w:space="0" w:color="auto"/>
            </w:tcBorders>
            <w:shd w:val="clear" w:color="auto" w:fill="auto"/>
            <w:vAlign w:val="center"/>
            <w:hideMark/>
          </w:tcPr>
          <w:p w14:paraId="669F44FC" w14:textId="77777777"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2020 оны 10 дугаар сарын 01-ний өдөр нээлтээ хийсэн төрийн үйлчилгээний нэгдсэн систем болох "Е-Mongolia"-д нэвтрүүлсэн төрийн 57 байгууллагын 563 үйлчилгээг 1000-д хүргэн нэмэгдүүлж, цахим гэрээ хэлцлийг байгуулах нөхцөл бүрдэж, иргэд цаг хугацаа, орон зайнаас үл хамаарч төрийн үйлчилгээг шуурхай авах нөхцөл бүрдсэн байна.</w:t>
            </w:r>
          </w:p>
        </w:tc>
        <w:tc>
          <w:tcPr>
            <w:tcW w:w="643" w:type="dxa"/>
            <w:tcBorders>
              <w:top w:val="nil"/>
              <w:left w:val="nil"/>
              <w:bottom w:val="nil"/>
              <w:right w:val="single" w:sz="4" w:space="0" w:color="auto"/>
            </w:tcBorders>
            <w:shd w:val="clear" w:color="auto" w:fill="auto"/>
            <w:vAlign w:val="center"/>
            <w:hideMark/>
          </w:tcPr>
          <w:p w14:paraId="07265789" w14:textId="77777777"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2022</w:t>
            </w:r>
          </w:p>
        </w:tc>
        <w:tc>
          <w:tcPr>
            <w:tcW w:w="1143" w:type="dxa"/>
            <w:tcBorders>
              <w:top w:val="nil"/>
              <w:left w:val="nil"/>
              <w:bottom w:val="nil"/>
              <w:right w:val="single" w:sz="4" w:space="0" w:color="auto"/>
            </w:tcBorders>
            <w:shd w:val="clear" w:color="auto" w:fill="auto"/>
            <w:vAlign w:val="center"/>
            <w:hideMark/>
          </w:tcPr>
          <w:p w14:paraId="64F8CA08" w14:textId="77777777"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 </w:t>
            </w:r>
          </w:p>
        </w:tc>
        <w:tc>
          <w:tcPr>
            <w:tcW w:w="642" w:type="dxa"/>
            <w:tcBorders>
              <w:top w:val="nil"/>
              <w:left w:val="nil"/>
              <w:bottom w:val="nil"/>
              <w:right w:val="single" w:sz="4" w:space="0" w:color="auto"/>
            </w:tcBorders>
            <w:shd w:val="clear" w:color="auto" w:fill="auto"/>
            <w:vAlign w:val="center"/>
            <w:hideMark/>
          </w:tcPr>
          <w:p w14:paraId="376B75A4" w14:textId="77777777"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 </w:t>
            </w:r>
          </w:p>
        </w:tc>
        <w:tc>
          <w:tcPr>
            <w:tcW w:w="1516" w:type="dxa"/>
            <w:tcBorders>
              <w:top w:val="nil"/>
              <w:left w:val="nil"/>
              <w:bottom w:val="nil"/>
              <w:right w:val="single" w:sz="4" w:space="0" w:color="auto"/>
            </w:tcBorders>
            <w:shd w:val="clear" w:color="auto" w:fill="auto"/>
            <w:vAlign w:val="center"/>
            <w:hideMark/>
          </w:tcPr>
          <w:p w14:paraId="308CDB29" w14:textId="77777777"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 </w:t>
            </w:r>
          </w:p>
        </w:tc>
        <w:tc>
          <w:tcPr>
            <w:tcW w:w="3510" w:type="dxa"/>
            <w:tcBorders>
              <w:top w:val="nil"/>
              <w:left w:val="nil"/>
              <w:bottom w:val="nil"/>
              <w:right w:val="single" w:sz="4" w:space="0" w:color="auto"/>
            </w:tcBorders>
            <w:shd w:val="clear" w:color="auto" w:fill="auto"/>
            <w:vAlign w:val="center"/>
            <w:hideMark/>
          </w:tcPr>
          <w:p w14:paraId="26C091C8" w14:textId="78DC3CF3" w:rsidR="00366B9D" w:rsidRPr="0081596A" w:rsidRDefault="00366B9D" w:rsidP="00174818">
            <w:pPr>
              <w:spacing w:after="0" w:line="240" w:lineRule="auto"/>
              <w:jc w:val="both"/>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2022 оны хагас жилийн байдлаар дээд боловсролын сургалтын байгууллага төгссөн нийт 50,560 иргэний мэдээллийг холбогдох журмын дагуу Дээд боловсролын удирдлага мэдээллийн систем</w:t>
            </w:r>
            <w:r>
              <w:rPr>
                <w:rFonts w:ascii="Arial" w:eastAsia="Times New Roman" w:hAnsi="Arial" w:cs="Arial"/>
                <w:noProof/>
                <w:color w:val="000000"/>
                <w:sz w:val="18"/>
                <w:szCs w:val="18"/>
                <w:lang w:val="mn-MN"/>
              </w:rPr>
              <w:t>д</w:t>
            </w:r>
            <w:r w:rsidRPr="0081596A">
              <w:rPr>
                <w:rFonts w:ascii="Arial" w:eastAsia="Times New Roman" w:hAnsi="Arial" w:cs="Arial"/>
                <w:noProof/>
                <w:color w:val="000000"/>
                <w:sz w:val="18"/>
                <w:szCs w:val="18"/>
                <w:lang w:val="mn-MN"/>
              </w:rPr>
              <w:t xml:space="preserve"> бүртгэн баталгаажуулж, E-Mongolia системийн санд шилжүүлэв.</w:t>
            </w:r>
            <w:r w:rsidRPr="0081596A">
              <w:rPr>
                <w:rFonts w:ascii="Arial" w:eastAsia="Times New Roman" w:hAnsi="Arial" w:cs="Arial"/>
                <w:noProof/>
                <w:color w:val="000000"/>
                <w:sz w:val="18"/>
                <w:szCs w:val="18"/>
                <w:lang w:val="mn-MN"/>
              </w:rPr>
              <w:br/>
              <w:t>-Тусгай зөвшөөрөл: Боловсролын салбарын үйлчилгээ эрхлэх тусгай зөвшөөрлийг цахим хэлбэрт шилжүүлэх ажлыг гүйцэтгэж, сургуулийн өмнөх боловсролын байгууллага болон ерөнхий боловсролын сургуулийн сургалтын тусгай зөвшөөрөл олгох, сунгах хүсэлтийг журмын дагуу иргэн, аж ахуйн нэгжээс хуулийн хугацаанд Боловсролын мэдээллийн технологийн төвийн www.license.edu.mn системээр дамжуулан цахимаар хүлээн авч байна. Мөн төрийн үйлчилгээний нэгдсэн портал e-mongolia.mn системд тусгай зөвшөөрлийн системийн тухай мэдээллийг байршуулж иргэн, аж ахуйн нэгжүүд цахим үйлчилгээ авах боломжийг нэмэгдүүлэв.</w:t>
            </w:r>
            <w:r w:rsidRPr="0081596A">
              <w:rPr>
                <w:rFonts w:ascii="Arial" w:eastAsia="Times New Roman" w:hAnsi="Arial" w:cs="Arial"/>
                <w:noProof/>
                <w:color w:val="000000"/>
                <w:sz w:val="18"/>
                <w:szCs w:val="18"/>
                <w:lang w:val="mn-MN"/>
              </w:rPr>
              <w:br/>
              <w:t xml:space="preserve">-Цахим үйлчилгээ: - Боловсролын салбарт суурь боловсролын гэрчилгээ, бүрэн дунд боловсролын үнэмлэх, дээд боловсролын сургалтын байгууллага төгссөн тухай дипломын лавлагаа болон ерөнхий боловсролын сургуулийн </w:t>
            </w:r>
            <w:r w:rsidRPr="0081596A">
              <w:rPr>
                <w:rFonts w:ascii="Arial" w:eastAsia="Times New Roman" w:hAnsi="Arial" w:cs="Arial"/>
                <w:noProof/>
                <w:color w:val="000000"/>
                <w:sz w:val="18"/>
                <w:szCs w:val="18"/>
                <w:lang w:val="mn-MN"/>
              </w:rPr>
              <w:lastRenderedPageBreak/>
              <w:t>улсын шалгалтын нэгдсэн дүнгийн хуулбар гэсэн 4 төрлийн лавлагааг ТҮЦ машин болон Төрийн үйлчилгээний нэгдсэн системт буюу E-Mongolia цахим системээр дамжуулан олгож байна.</w:t>
            </w:r>
            <w:r w:rsidRPr="0081596A">
              <w:rPr>
                <w:rFonts w:ascii="Arial" w:eastAsia="Times New Roman" w:hAnsi="Arial" w:cs="Arial"/>
                <w:noProof/>
                <w:color w:val="000000"/>
                <w:sz w:val="18"/>
                <w:szCs w:val="18"/>
                <w:lang w:val="mn-MN"/>
              </w:rPr>
              <w:br/>
              <w:t xml:space="preserve"> - Ерөнхий боловсролын элсэлт, төгсөлт, журнал хөтлөлт, боловсролын баримт бичиг олголт, элсэлтийн ерөнхий шалгалтын материал түгээлт, засалт, түүний чанарын үнэлгээний судалгаа, багшийн эрхийн бүртгэл, салбарын шагнал урамшууллын хүсэлт, үнэмлэх тэмдгийн нөхөн олголтын хүсэлт зэрэг үйлчилгээг цахим хэлбэрт шилжүүлээд байна. </w:t>
            </w:r>
            <w:r w:rsidRPr="0081596A">
              <w:rPr>
                <w:rFonts w:ascii="Arial" w:eastAsia="Times New Roman" w:hAnsi="Arial" w:cs="Arial"/>
                <w:noProof/>
                <w:color w:val="000000"/>
                <w:sz w:val="18"/>
                <w:szCs w:val="18"/>
                <w:lang w:val="mn-MN"/>
              </w:rPr>
              <w:br/>
              <w:t>- БШУ-ны сайдын 2021 оны “Журам, заавар батлах тухай” А/09 дугаар тушаалаар Боловсролын сургалтын байгууллагад суралцаж байгаа эсэх тухай тодорхойлолтыг дээрх системээр дамжуулан цахимаар олгох журам, загвар</w:t>
            </w:r>
            <w:r>
              <w:rPr>
                <w:rFonts w:ascii="Arial" w:eastAsia="Times New Roman" w:hAnsi="Arial" w:cs="Arial"/>
                <w:noProof/>
                <w:color w:val="000000"/>
                <w:sz w:val="18"/>
                <w:szCs w:val="18"/>
                <w:lang w:val="mn-MN"/>
              </w:rPr>
              <w:t>ыг баталсан.</w:t>
            </w:r>
            <w:r w:rsidRPr="0081596A">
              <w:rPr>
                <w:rFonts w:ascii="Arial" w:eastAsia="Times New Roman" w:hAnsi="Arial" w:cs="Arial"/>
                <w:noProof/>
                <w:color w:val="000000"/>
                <w:sz w:val="18"/>
                <w:szCs w:val="18"/>
                <w:lang w:val="mn-MN"/>
              </w:rPr>
              <w:t xml:space="preserve"> Үндэсний дата төвтэй гэрээ байгуулан, систем хооронд мэдээлэл солилцох сервис хөгжүүлэлтийг хийж, тодорхойлолтыг сервисээр аж ахуйн нэгж байгууллага</w:t>
            </w:r>
            <w:r>
              <w:rPr>
                <w:rFonts w:ascii="Arial" w:eastAsia="Times New Roman" w:hAnsi="Arial" w:cs="Arial"/>
                <w:noProof/>
                <w:color w:val="000000"/>
                <w:sz w:val="18"/>
                <w:szCs w:val="18"/>
                <w:lang w:val="mn-MN"/>
              </w:rPr>
              <w:t>,</w:t>
            </w:r>
            <w:r w:rsidRPr="0081596A">
              <w:rPr>
                <w:rFonts w:ascii="Arial" w:eastAsia="Times New Roman" w:hAnsi="Arial" w:cs="Arial"/>
                <w:noProof/>
                <w:color w:val="000000"/>
                <w:sz w:val="18"/>
                <w:szCs w:val="18"/>
                <w:lang w:val="mn-MN"/>
              </w:rPr>
              <w:t xml:space="preserve"> иргэнд ТҮЦ машин болон Төрийн үйлчилгээний E-Mongolia</w:t>
            </w:r>
            <w:r>
              <w:rPr>
                <w:rFonts w:ascii="Arial" w:eastAsia="Times New Roman" w:hAnsi="Arial" w:cs="Arial"/>
                <w:noProof/>
                <w:color w:val="000000"/>
                <w:sz w:val="18"/>
                <w:szCs w:val="18"/>
                <w:lang w:val="mn-MN"/>
              </w:rPr>
              <w:t xml:space="preserve"> </w:t>
            </w:r>
            <w:r w:rsidRPr="0081596A">
              <w:rPr>
                <w:rFonts w:ascii="Arial" w:eastAsia="Times New Roman" w:hAnsi="Arial" w:cs="Arial"/>
                <w:noProof/>
                <w:color w:val="000000"/>
                <w:sz w:val="18"/>
                <w:szCs w:val="18"/>
                <w:lang w:val="mn-MN"/>
              </w:rPr>
              <w:t>цахим системээр дамжуулан олгож байна.</w:t>
            </w:r>
            <w:r w:rsidRPr="0081596A">
              <w:rPr>
                <w:rFonts w:ascii="Arial" w:eastAsia="Times New Roman" w:hAnsi="Arial" w:cs="Arial"/>
                <w:noProof/>
                <w:color w:val="000000"/>
                <w:sz w:val="18"/>
                <w:szCs w:val="18"/>
                <w:lang w:val="mn-MN"/>
              </w:rPr>
              <w:br/>
              <w:t xml:space="preserve">Их, дээд сургууль, коллежид суралцаж байгаа оюутан, суралцагчийн мэдээллийг </w:t>
            </w:r>
            <w:r>
              <w:rPr>
                <w:rFonts w:ascii="Arial" w:eastAsia="Times New Roman" w:hAnsi="Arial" w:cs="Arial"/>
                <w:noProof/>
                <w:color w:val="000000"/>
                <w:sz w:val="18"/>
                <w:szCs w:val="18"/>
                <w:lang w:val="mn-MN"/>
              </w:rPr>
              <w:t>г</w:t>
            </w:r>
            <w:r w:rsidRPr="0081596A">
              <w:rPr>
                <w:rFonts w:ascii="Arial" w:eastAsia="Times New Roman" w:hAnsi="Arial" w:cs="Arial"/>
                <w:noProof/>
                <w:color w:val="000000"/>
                <w:sz w:val="18"/>
                <w:szCs w:val="18"/>
                <w:lang w:val="mn-MN"/>
              </w:rPr>
              <w:t xml:space="preserve">ааль, татвар, санхүүгийн мэдээллийн системтэй сервисээр солилцдог болсноор татварын буцаан олголтод сургалтын байгууллагаас тодорхойлолт шаардахгүй болсон. </w:t>
            </w:r>
          </w:p>
        </w:tc>
        <w:tc>
          <w:tcPr>
            <w:tcW w:w="1246" w:type="dxa"/>
            <w:tcBorders>
              <w:top w:val="nil"/>
              <w:left w:val="nil"/>
              <w:bottom w:val="nil"/>
              <w:right w:val="single" w:sz="4" w:space="0" w:color="auto"/>
            </w:tcBorders>
            <w:shd w:val="clear" w:color="auto" w:fill="auto"/>
            <w:vAlign w:val="center"/>
            <w:hideMark/>
          </w:tcPr>
          <w:p w14:paraId="44A56FFC" w14:textId="67E1F859" w:rsidR="00366B9D" w:rsidRPr="0081596A" w:rsidRDefault="00366B9D" w:rsidP="0081596A">
            <w:pPr>
              <w:spacing w:after="0" w:line="240" w:lineRule="auto"/>
              <w:jc w:val="center"/>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lastRenderedPageBreak/>
              <w:t>100</w:t>
            </w:r>
            <w:r>
              <w:rPr>
                <w:rFonts w:ascii="Arial" w:eastAsia="Times New Roman" w:hAnsi="Arial" w:cs="Arial"/>
                <w:noProof/>
                <w:color w:val="000000"/>
                <w:sz w:val="18"/>
                <w:szCs w:val="18"/>
                <w:lang w:val="mn-MN"/>
              </w:rPr>
              <w:t>%</w:t>
            </w:r>
          </w:p>
        </w:tc>
        <w:tc>
          <w:tcPr>
            <w:tcW w:w="1638" w:type="dxa"/>
            <w:gridSpan w:val="2"/>
            <w:tcBorders>
              <w:top w:val="nil"/>
              <w:left w:val="nil"/>
              <w:bottom w:val="nil"/>
              <w:right w:val="single" w:sz="4" w:space="0" w:color="auto"/>
            </w:tcBorders>
            <w:shd w:val="clear" w:color="auto" w:fill="auto"/>
            <w:vAlign w:val="center"/>
            <w:hideMark/>
          </w:tcPr>
          <w:p w14:paraId="19C5F795" w14:textId="77777777" w:rsidR="00366B9D" w:rsidRPr="0081596A" w:rsidRDefault="00366B9D" w:rsidP="0081596A">
            <w:pPr>
              <w:spacing w:after="0" w:line="240" w:lineRule="auto"/>
              <w:jc w:val="center"/>
              <w:rPr>
                <w:rFonts w:ascii="Arial" w:eastAsia="Times New Roman" w:hAnsi="Arial" w:cs="Arial"/>
                <w:noProof/>
                <w:color w:val="000000"/>
                <w:sz w:val="18"/>
                <w:szCs w:val="18"/>
                <w:lang w:val="mn-MN"/>
              </w:rPr>
            </w:pPr>
            <w:r w:rsidRPr="0081596A">
              <w:rPr>
                <w:rFonts w:ascii="Arial" w:eastAsia="Times New Roman" w:hAnsi="Arial" w:cs="Arial"/>
                <w:noProof/>
                <w:color w:val="000000"/>
                <w:sz w:val="18"/>
                <w:szCs w:val="18"/>
                <w:lang w:val="mn-MN"/>
              </w:rPr>
              <w:t> </w:t>
            </w:r>
          </w:p>
        </w:tc>
      </w:tr>
      <w:tr w:rsidR="00366B9D" w:rsidRPr="0081596A" w14:paraId="4BBCE3A5" w14:textId="77777777" w:rsidTr="00957885">
        <w:trPr>
          <w:trHeight w:val="275"/>
        </w:trPr>
        <w:tc>
          <w:tcPr>
            <w:tcW w:w="526" w:type="dxa"/>
            <w:tcBorders>
              <w:top w:val="single" w:sz="4" w:space="0" w:color="auto"/>
              <w:left w:val="single" w:sz="4" w:space="0" w:color="auto"/>
              <w:bottom w:val="single" w:sz="4" w:space="0" w:color="auto"/>
              <w:right w:val="single" w:sz="4" w:space="0" w:color="auto"/>
            </w:tcBorders>
          </w:tcPr>
          <w:p w14:paraId="587B5D05" w14:textId="77777777" w:rsidR="00366B9D" w:rsidRPr="0095457C" w:rsidRDefault="00366B9D" w:rsidP="00174818">
            <w:pPr>
              <w:spacing w:after="0" w:line="240" w:lineRule="auto"/>
              <w:jc w:val="both"/>
              <w:rPr>
                <w:rFonts w:ascii="Arial" w:eastAsia="Times New Roman" w:hAnsi="Arial" w:cs="Arial"/>
                <w:b/>
                <w:bCs/>
                <w:i/>
                <w:iCs/>
                <w:noProof/>
                <w:color w:val="000000"/>
                <w:sz w:val="18"/>
                <w:szCs w:val="18"/>
                <w:lang w:val="mn-MN"/>
              </w:rPr>
            </w:pPr>
          </w:p>
        </w:tc>
        <w:tc>
          <w:tcPr>
            <w:tcW w:w="75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F7D543C" w14:textId="1A0F4FF6" w:rsidR="00366B9D" w:rsidRPr="00783F3E" w:rsidRDefault="00366B9D" w:rsidP="00174818">
            <w:pPr>
              <w:spacing w:after="0" w:line="240" w:lineRule="auto"/>
              <w:jc w:val="both"/>
              <w:rPr>
                <w:rFonts w:ascii="Arial" w:eastAsia="Times New Roman" w:hAnsi="Arial" w:cs="Arial"/>
                <w:noProof/>
                <w:color w:val="000000"/>
                <w:sz w:val="18"/>
                <w:szCs w:val="18"/>
                <w:lang w:val="mn-MN"/>
              </w:rPr>
            </w:pPr>
            <w:r w:rsidRPr="00783F3E">
              <w:rPr>
                <w:rFonts w:ascii="Arial" w:eastAsia="Times New Roman" w:hAnsi="Arial" w:cs="Arial"/>
                <w:noProof/>
                <w:color w:val="000000"/>
                <w:sz w:val="18"/>
                <w:szCs w:val="18"/>
                <w:lang w:val="mn-MN"/>
              </w:rPr>
              <w:t xml:space="preserve">                                    Дүн</w:t>
            </w:r>
          </w:p>
        </w:tc>
        <w:tc>
          <w:tcPr>
            <w:tcW w:w="3510" w:type="dxa"/>
            <w:tcBorders>
              <w:top w:val="single" w:sz="4" w:space="0" w:color="auto"/>
              <w:left w:val="nil"/>
              <w:bottom w:val="single" w:sz="4" w:space="0" w:color="auto"/>
              <w:right w:val="single" w:sz="4" w:space="0" w:color="auto"/>
            </w:tcBorders>
            <w:shd w:val="clear" w:color="auto" w:fill="auto"/>
            <w:vAlign w:val="center"/>
          </w:tcPr>
          <w:p w14:paraId="76154049" w14:textId="77777777" w:rsidR="00366B9D" w:rsidRPr="00783F3E" w:rsidRDefault="00366B9D" w:rsidP="00174818">
            <w:pPr>
              <w:spacing w:after="0" w:line="240" w:lineRule="auto"/>
              <w:jc w:val="both"/>
              <w:rPr>
                <w:rFonts w:ascii="Arial" w:eastAsia="Times New Roman" w:hAnsi="Arial" w:cs="Arial"/>
                <w:noProof/>
                <w:color w:val="000000"/>
                <w:sz w:val="18"/>
                <w:szCs w:val="18"/>
                <w:lang w:val="mn-MN"/>
              </w:rPr>
            </w:pPr>
          </w:p>
        </w:tc>
        <w:tc>
          <w:tcPr>
            <w:tcW w:w="1246" w:type="dxa"/>
            <w:tcBorders>
              <w:top w:val="single" w:sz="4" w:space="0" w:color="auto"/>
              <w:left w:val="nil"/>
              <w:bottom w:val="single" w:sz="4" w:space="0" w:color="auto"/>
              <w:right w:val="single" w:sz="4" w:space="0" w:color="auto"/>
            </w:tcBorders>
            <w:shd w:val="clear" w:color="auto" w:fill="auto"/>
            <w:vAlign w:val="center"/>
          </w:tcPr>
          <w:p w14:paraId="28501D18" w14:textId="226EF2CA" w:rsidR="00366B9D" w:rsidRPr="00783F3E" w:rsidRDefault="00B67C94" w:rsidP="0081596A">
            <w:pPr>
              <w:spacing w:after="0" w:line="240" w:lineRule="auto"/>
              <w:jc w:val="center"/>
              <w:rPr>
                <w:rFonts w:ascii="Arial" w:eastAsia="Times New Roman" w:hAnsi="Arial" w:cs="Arial"/>
                <w:noProof/>
                <w:color w:val="000000"/>
                <w:sz w:val="18"/>
                <w:szCs w:val="18"/>
                <w:lang w:val="mn-MN"/>
              </w:rPr>
            </w:pPr>
            <w:r w:rsidRPr="00783F3E">
              <w:rPr>
                <w:rFonts w:ascii="Arial" w:eastAsia="Times New Roman" w:hAnsi="Arial" w:cs="Arial"/>
                <w:noProof/>
                <w:color w:val="000000"/>
                <w:sz w:val="18"/>
                <w:szCs w:val="18"/>
                <w:lang w:val="mn-MN"/>
              </w:rPr>
              <w:t>68,0%</w:t>
            </w:r>
          </w:p>
        </w:tc>
        <w:tc>
          <w:tcPr>
            <w:tcW w:w="1638" w:type="dxa"/>
            <w:gridSpan w:val="2"/>
            <w:tcBorders>
              <w:top w:val="single" w:sz="4" w:space="0" w:color="auto"/>
              <w:left w:val="nil"/>
              <w:bottom w:val="single" w:sz="4" w:space="0" w:color="auto"/>
              <w:right w:val="single" w:sz="4" w:space="0" w:color="auto"/>
            </w:tcBorders>
            <w:shd w:val="clear" w:color="auto" w:fill="auto"/>
            <w:vAlign w:val="center"/>
          </w:tcPr>
          <w:p w14:paraId="2478DCD7" w14:textId="77777777" w:rsidR="00366B9D" w:rsidRPr="0081596A" w:rsidRDefault="00366B9D" w:rsidP="0081596A">
            <w:pPr>
              <w:spacing w:after="0" w:line="240" w:lineRule="auto"/>
              <w:jc w:val="center"/>
              <w:rPr>
                <w:rFonts w:ascii="Arial" w:eastAsia="Times New Roman" w:hAnsi="Arial" w:cs="Arial"/>
                <w:noProof/>
                <w:color w:val="000000"/>
                <w:sz w:val="18"/>
                <w:szCs w:val="18"/>
                <w:lang w:val="mn-MN"/>
              </w:rPr>
            </w:pPr>
          </w:p>
        </w:tc>
      </w:tr>
    </w:tbl>
    <w:p w14:paraId="77D6ABCD" w14:textId="781671EA" w:rsidR="00957885" w:rsidRDefault="00957885">
      <w:pPr>
        <w:rPr>
          <w:noProof/>
          <w:lang w:val="mn-MN"/>
        </w:rPr>
      </w:pPr>
      <w:r>
        <w:rPr>
          <w:noProof/>
          <w:lang w:val="mn-MN"/>
        </w:rPr>
        <w:t xml:space="preserve">                                                                                                 </w:t>
      </w:r>
    </w:p>
    <w:p w14:paraId="101D1226" w14:textId="4E2B4F85" w:rsidR="00957885" w:rsidRPr="00957885" w:rsidRDefault="00957885">
      <w:pPr>
        <w:rPr>
          <w:rFonts w:ascii="Arial" w:hAnsi="Arial" w:cs="Arial"/>
          <w:b/>
          <w:bCs/>
          <w:noProof/>
          <w:sz w:val="20"/>
          <w:szCs w:val="20"/>
          <w:lang w:val="mn-MN"/>
        </w:rPr>
      </w:pPr>
      <w:r>
        <w:rPr>
          <w:noProof/>
          <w:lang w:val="mn-MN"/>
        </w:rPr>
        <w:t xml:space="preserve">                                                                                           </w:t>
      </w:r>
      <w:r w:rsidRPr="00957885">
        <w:rPr>
          <w:rFonts w:ascii="Arial" w:hAnsi="Arial" w:cs="Arial"/>
          <w:b/>
          <w:bCs/>
          <w:noProof/>
          <w:sz w:val="20"/>
          <w:szCs w:val="20"/>
          <w:lang w:val="mn-MN"/>
        </w:rPr>
        <w:t>ХЯНАЛТ-ШИНЖИЛГЭЭ, ҮНЭЛГЭЭ, ДОТООД АУДИТЫН ГАЗАР</w:t>
      </w:r>
    </w:p>
    <w:sectPr w:rsidR="00957885" w:rsidRPr="00957885" w:rsidSect="0081596A">
      <w:headerReference w:type="default" r:id="rId6"/>
      <w:pgSz w:w="16840" w:h="11907" w:orient="landscape" w:code="9"/>
      <w:pgMar w:top="1418" w:right="851" w:bottom="709"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51255" w14:textId="77777777" w:rsidR="004F2911" w:rsidRDefault="004F2911" w:rsidP="003A4814">
      <w:pPr>
        <w:spacing w:after="0" w:line="240" w:lineRule="auto"/>
      </w:pPr>
      <w:r>
        <w:separator/>
      </w:r>
    </w:p>
  </w:endnote>
  <w:endnote w:type="continuationSeparator" w:id="0">
    <w:p w14:paraId="33CD1B39" w14:textId="77777777" w:rsidR="004F2911" w:rsidRDefault="004F2911" w:rsidP="003A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07F77" w14:textId="77777777" w:rsidR="004F2911" w:rsidRDefault="004F2911" w:rsidP="003A4814">
      <w:pPr>
        <w:spacing w:after="0" w:line="240" w:lineRule="auto"/>
      </w:pPr>
      <w:r>
        <w:separator/>
      </w:r>
    </w:p>
  </w:footnote>
  <w:footnote w:type="continuationSeparator" w:id="0">
    <w:p w14:paraId="38BC254A" w14:textId="77777777" w:rsidR="004F2911" w:rsidRDefault="004F2911" w:rsidP="003A4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39EA" w14:textId="709986A0" w:rsidR="003B04A6" w:rsidRDefault="003B04A6">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4CCE9B97" wp14:editId="2D33C640">
              <wp:simplePos x="0" y="0"/>
              <wp:positionH relativeFrom="page">
                <wp:align>right</wp:align>
              </wp:positionH>
              <mc:AlternateContent>
                <mc:Choice Requires="wp14">
                  <wp:positionV relativeFrom="page">
                    <wp14:pctPosVOffset>2300</wp14:pctPosVOffset>
                  </wp:positionV>
                </mc:Choice>
                <mc:Fallback>
                  <wp:positionV relativeFrom="page">
                    <wp:posOffset>173355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575660" w14:textId="77777777" w:rsidR="003B04A6" w:rsidRDefault="003B04A6">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CE9B97"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4B575660" w14:textId="77777777" w:rsidR="003B04A6" w:rsidRDefault="003B04A6">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6A"/>
    <w:rsid w:val="00053FC0"/>
    <w:rsid w:val="000777AA"/>
    <w:rsid w:val="00094D6C"/>
    <w:rsid w:val="000C08AE"/>
    <w:rsid w:val="000D530A"/>
    <w:rsid w:val="001118AA"/>
    <w:rsid w:val="001137C1"/>
    <w:rsid w:val="00174818"/>
    <w:rsid w:val="001B2463"/>
    <w:rsid w:val="002074EF"/>
    <w:rsid w:val="002329D7"/>
    <w:rsid w:val="00264085"/>
    <w:rsid w:val="002816A5"/>
    <w:rsid w:val="0028363D"/>
    <w:rsid w:val="00291DE4"/>
    <w:rsid w:val="002C4FEE"/>
    <w:rsid w:val="002D20D0"/>
    <w:rsid w:val="002E42E9"/>
    <w:rsid w:val="00302743"/>
    <w:rsid w:val="0036444C"/>
    <w:rsid w:val="00366B9D"/>
    <w:rsid w:val="00384E49"/>
    <w:rsid w:val="00395F13"/>
    <w:rsid w:val="003A4814"/>
    <w:rsid w:val="003A4FF9"/>
    <w:rsid w:val="003B04A6"/>
    <w:rsid w:val="003D70E4"/>
    <w:rsid w:val="003F0548"/>
    <w:rsid w:val="004112E1"/>
    <w:rsid w:val="00430218"/>
    <w:rsid w:val="00454F72"/>
    <w:rsid w:val="0046039E"/>
    <w:rsid w:val="0049050E"/>
    <w:rsid w:val="004A7314"/>
    <w:rsid w:val="004E6AEA"/>
    <w:rsid w:val="004F2911"/>
    <w:rsid w:val="00500B3D"/>
    <w:rsid w:val="00566930"/>
    <w:rsid w:val="00571A4B"/>
    <w:rsid w:val="00587E0B"/>
    <w:rsid w:val="00596770"/>
    <w:rsid w:val="005E5620"/>
    <w:rsid w:val="0063207E"/>
    <w:rsid w:val="006350A1"/>
    <w:rsid w:val="00642305"/>
    <w:rsid w:val="006544AB"/>
    <w:rsid w:val="006813FD"/>
    <w:rsid w:val="006A157A"/>
    <w:rsid w:val="006B63E3"/>
    <w:rsid w:val="006F252C"/>
    <w:rsid w:val="00783F3E"/>
    <w:rsid w:val="007A0CED"/>
    <w:rsid w:val="007A68CA"/>
    <w:rsid w:val="007F36EB"/>
    <w:rsid w:val="0081596A"/>
    <w:rsid w:val="00862918"/>
    <w:rsid w:val="00882706"/>
    <w:rsid w:val="0088625E"/>
    <w:rsid w:val="0088663C"/>
    <w:rsid w:val="008A1895"/>
    <w:rsid w:val="008E6207"/>
    <w:rsid w:val="0090684B"/>
    <w:rsid w:val="009455E2"/>
    <w:rsid w:val="009464E7"/>
    <w:rsid w:val="0095457C"/>
    <w:rsid w:val="00957885"/>
    <w:rsid w:val="009B1B54"/>
    <w:rsid w:val="00A118DC"/>
    <w:rsid w:val="00A32562"/>
    <w:rsid w:val="00A83440"/>
    <w:rsid w:val="00AE0436"/>
    <w:rsid w:val="00AE545C"/>
    <w:rsid w:val="00AE7703"/>
    <w:rsid w:val="00B076F4"/>
    <w:rsid w:val="00B10249"/>
    <w:rsid w:val="00B12DEF"/>
    <w:rsid w:val="00B27A33"/>
    <w:rsid w:val="00B545C0"/>
    <w:rsid w:val="00B67C94"/>
    <w:rsid w:val="00B8164C"/>
    <w:rsid w:val="00B84CEA"/>
    <w:rsid w:val="00B97216"/>
    <w:rsid w:val="00BA68AE"/>
    <w:rsid w:val="00BB52F6"/>
    <w:rsid w:val="00C21D3A"/>
    <w:rsid w:val="00C30C5A"/>
    <w:rsid w:val="00C67006"/>
    <w:rsid w:val="00C764B8"/>
    <w:rsid w:val="00C80EB4"/>
    <w:rsid w:val="00CC3283"/>
    <w:rsid w:val="00CE25EC"/>
    <w:rsid w:val="00D06E8B"/>
    <w:rsid w:val="00D169C6"/>
    <w:rsid w:val="00D46685"/>
    <w:rsid w:val="00D7089C"/>
    <w:rsid w:val="00D8366C"/>
    <w:rsid w:val="00D83EAC"/>
    <w:rsid w:val="00DB0471"/>
    <w:rsid w:val="00DB4278"/>
    <w:rsid w:val="00DD4D13"/>
    <w:rsid w:val="00DF768C"/>
    <w:rsid w:val="00E4653F"/>
    <w:rsid w:val="00E97C03"/>
    <w:rsid w:val="00EF2526"/>
    <w:rsid w:val="00EF7668"/>
    <w:rsid w:val="00F12B53"/>
    <w:rsid w:val="00F377D7"/>
    <w:rsid w:val="00F44754"/>
    <w:rsid w:val="00F77230"/>
    <w:rsid w:val="00F9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E33A6"/>
  <w15:chartTrackingRefBased/>
  <w15:docId w15:val="{DE6AA3D1-4FD1-4AFE-A052-01A876E0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814"/>
  </w:style>
  <w:style w:type="paragraph" w:styleId="Footer">
    <w:name w:val="footer"/>
    <w:basedOn w:val="Normal"/>
    <w:link w:val="FooterChar"/>
    <w:uiPriority w:val="99"/>
    <w:unhideWhenUsed/>
    <w:rsid w:val="003A4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1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Доржхуяг Батаа</dc:creator>
  <cp:keywords/>
  <dc:description/>
  <cp:lastModifiedBy>Доржхуяг Батаа</cp:lastModifiedBy>
  <cp:revision>32</cp:revision>
  <dcterms:created xsi:type="dcterms:W3CDTF">2022-07-01T12:34:00Z</dcterms:created>
  <dcterms:modified xsi:type="dcterms:W3CDTF">2022-07-01T13:59:00Z</dcterms:modified>
</cp:coreProperties>
</file>